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95E" w:rsidRPr="0024397C" w:rsidRDefault="0024397C" w:rsidP="00A34E3A">
      <w:pPr>
        <w:spacing w:line="260" w:lineRule="exact"/>
        <w:rPr>
          <w:rFonts w:ascii="Times New Roman" w:hAnsi="Times New Roman" w:cs="Times New Roman"/>
          <w:b/>
          <w:sz w:val="22"/>
        </w:rPr>
      </w:pPr>
      <w:r w:rsidRPr="0024397C">
        <w:rPr>
          <w:rFonts w:ascii="Times New Roman" w:hAnsi="Times New Roman" w:cs="Times New Roman"/>
          <w:b/>
          <w:sz w:val="22"/>
        </w:rPr>
        <w:t xml:space="preserve">Supplementary </w:t>
      </w:r>
      <w:r w:rsidR="007A67F4" w:rsidRPr="0024397C">
        <w:rPr>
          <w:rFonts w:ascii="Times New Roman" w:hAnsi="Times New Roman" w:cs="Times New Roman"/>
          <w:b/>
          <w:sz w:val="22"/>
        </w:rPr>
        <w:t xml:space="preserve">Table </w:t>
      </w:r>
      <w:r w:rsidRPr="0024397C">
        <w:rPr>
          <w:rFonts w:ascii="Times New Roman" w:hAnsi="Times New Roman" w:cs="Times New Roman" w:hint="eastAsia"/>
          <w:b/>
          <w:sz w:val="22"/>
        </w:rPr>
        <w:t>S</w:t>
      </w:r>
      <w:r w:rsidR="007A67F4" w:rsidRPr="0024397C">
        <w:rPr>
          <w:rFonts w:ascii="Times New Roman" w:hAnsi="Times New Roman" w:cs="Times New Roman"/>
          <w:b/>
          <w:sz w:val="22"/>
        </w:rPr>
        <w:t xml:space="preserve">1 Clinical characteristics of breast cancer patients from </w:t>
      </w:r>
      <w:r w:rsidR="00A34E3A" w:rsidRPr="0024397C">
        <w:rPr>
          <w:rFonts w:ascii="Times New Roman" w:hAnsi="Times New Roman" w:cs="Times New Roman"/>
          <w:b/>
          <w:sz w:val="22"/>
        </w:rPr>
        <w:t xml:space="preserve">42 </w:t>
      </w:r>
      <w:proofErr w:type="spellStart"/>
      <w:r w:rsidR="007A67F4" w:rsidRPr="0024397C">
        <w:rPr>
          <w:rFonts w:ascii="Times New Roman" w:hAnsi="Times New Roman" w:cs="Times New Roman"/>
          <w:b/>
          <w:sz w:val="22"/>
        </w:rPr>
        <w:t>Affymetrix</w:t>
      </w:r>
      <w:proofErr w:type="spellEnd"/>
      <w:r w:rsidR="007A67F4" w:rsidRPr="0024397C">
        <w:rPr>
          <w:rFonts w:ascii="Times New Roman" w:hAnsi="Times New Roman" w:cs="Times New Roman"/>
          <w:b/>
          <w:sz w:val="22"/>
        </w:rPr>
        <w:t xml:space="preserve"> microarray datasets used in this study</w:t>
      </w:r>
    </w:p>
    <w:tbl>
      <w:tblPr>
        <w:tblStyle w:val="LightShading"/>
        <w:tblW w:w="5000" w:type="pct"/>
        <w:tblLook w:val="04A0" w:firstRow="1" w:lastRow="0" w:firstColumn="1" w:lastColumn="0" w:noHBand="0" w:noVBand="1"/>
      </w:tblPr>
      <w:tblGrid>
        <w:gridCol w:w="1130"/>
        <w:gridCol w:w="1243"/>
        <w:gridCol w:w="1062"/>
        <w:gridCol w:w="882"/>
        <w:gridCol w:w="882"/>
        <w:gridCol w:w="882"/>
        <w:gridCol w:w="781"/>
        <w:gridCol w:w="1360"/>
        <w:gridCol w:w="949"/>
        <w:gridCol w:w="569"/>
      </w:tblGrid>
      <w:tr w:rsidR="00A7512F" w:rsidRPr="00DC5562" w:rsidTr="001D5C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jc w:val="center"/>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Dataset</w:t>
            </w:r>
          </w:p>
        </w:tc>
        <w:tc>
          <w:tcPr>
            <w:tcW w:w="638" w:type="pct"/>
            <w:shd w:val="clear" w:color="auto" w:fill="auto"/>
          </w:tcPr>
          <w:p w:rsidR="008A57CA" w:rsidRPr="00DC5562" w:rsidRDefault="008A57CA" w:rsidP="007C6C4F">
            <w:pPr>
              <w:spacing w:line="260" w:lineRule="exact"/>
              <w:ind w:firstLineChars="150" w:firstLine="301"/>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Age</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X±SD</w:t>
            </w:r>
          </w:p>
        </w:tc>
        <w:tc>
          <w:tcPr>
            <w:tcW w:w="545"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Grade</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G1&amp;2/G3</w:t>
            </w:r>
          </w:p>
        </w:tc>
        <w:tc>
          <w:tcPr>
            <w:tcW w:w="453"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Node</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N/P</w:t>
            </w:r>
          </w:p>
        </w:tc>
        <w:tc>
          <w:tcPr>
            <w:tcW w:w="453"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ER</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N/P</w:t>
            </w:r>
          </w:p>
        </w:tc>
        <w:tc>
          <w:tcPr>
            <w:tcW w:w="453"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PR</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N/P</w:t>
            </w:r>
          </w:p>
        </w:tc>
        <w:tc>
          <w:tcPr>
            <w:tcW w:w="401" w:type="pct"/>
            <w:shd w:val="clear" w:color="auto" w:fill="auto"/>
          </w:tcPr>
          <w:p w:rsidR="008A57CA" w:rsidRPr="00DC5562" w:rsidRDefault="00E42A2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E42A2A">
              <w:rPr>
                <w:rFonts w:ascii="Times New Roman" w:hAnsi="Times New Roman" w:cs="Times New Roman"/>
                <w:color w:val="000000"/>
                <w:sz w:val="20"/>
                <w:szCs w:val="20"/>
              </w:rPr>
              <w:t>HER2</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N/P</w:t>
            </w:r>
          </w:p>
        </w:tc>
        <w:tc>
          <w:tcPr>
            <w:tcW w:w="698"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Neoadjuvant</w:t>
            </w:r>
          </w:p>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eastAsia="宋体" w:hAnsi="Times New Roman" w:cs="Times New Roman"/>
                <w:color w:val="000000"/>
                <w:sz w:val="20"/>
                <w:szCs w:val="20"/>
              </w:rPr>
              <w:t>Treatment</w:t>
            </w:r>
          </w:p>
        </w:tc>
        <w:tc>
          <w:tcPr>
            <w:tcW w:w="487"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Survival data</w:t>
            </w:r>
          </w:p>
        </w:tc>
        <w:tc>
          <w:tcPr>
            <w:tcW w:w="294" w:type="pct"/>
            <w:shd w:val="clear" w:color="auto" w:fill="auto"/>
          </w:tcPr>
          <w:p w:rsidR="008A57CA" w:rsidRPr="00DC5562" w:rsidRDefault="008A57CA" w:rsidP="00A34E3A">
            <w:pPr>
              <w:spacing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DC5562">
              <w:rPr>
                <w:rFonts w:ascii="Times New Roman" w:hAnsi="Times New Roman" w:cs="Times New Roman"/>
                <w:color w:val="000000"/>
                <w:sz w:val="20"/>
                <w:szCs w:val="20"/>
              </w:rPr>
              <w:t>Ref.</w:t>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GSE11121</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59.98±12.36</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165/35</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200/0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38/162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8m0uhhdf","properties":{"formattedCitation":"(1)","plainCitation":"(1)","noteIndex":0},"citationItems":[{"id":45,"uris":["http://zotero.org/users/local/N5R1corn/items/DSRJ2IIM"],"uri":["http://zotero.org/users/local/N5R1corn/items/DSRJ2IIM"],"itemData":{"id":45,"type":"article-journal","title":"The humoral immune system has a key prognostic impact in node-negative breast cancer","container-title":"Cancer Research","page":"5405-5413","volume":"68","issue":"13","source":"PubMed","abstract":"Estrogen receptor (ER) expression and proliferative activity are established prognostic factors in breast cancer. In a search for additional prognostic motifs, we analyzed the gene expression patterns of 200 tumors of patients who were not treated by systemic therapy after surgery using a discovery approach. After performing hierarchical cluster analysis, we identified coregulated genes related to the biological process of proliferation, steroid hormone receptor expression, as well as B-cell and T-cell infiltration. We calculated metagenes as a surrogate for all genes contained within a particular cluster and visualized the relative expression in relation to time to metastasis with principal component analysis. Distinct patterns led to the hypothesis of a prognostic role of the immune system in tumors with high expression of proliferation-associated genes. In multivariate Cox regression analysis, the proliferation metagene showed a significant association with metastasis-free survival of the whole discovery cohort [hazard ratio (HR), 2.20; 95% confidence interval (95% CI), 1.40-3.46]. The B-cell metagene showed additional independent prognostic information in carcinomas with high proliferative activity (HR, 0.66; 95% CI, 0.46-0.97). A prognostic influence of the B-cell metagene was independently confirmed by multivariate analysis in a first validation cohort enriched for high-grade tumors (n = 286; HR, 0.78; 95% CI, 0.62-0.98) and a second validation cohort enriched for younger patients (n = 302; HR, 0.83; 95% CI, 0.7-0.97). Thus, we could show in three cohorts of untreated, node-negative breast cancer patients that the humoral immune system plays a pivotal role in metastasis-free survival of carcinomas of the breast.","DOI":"10.1158/0008-5472.CAN-07-5206","ISSN":"1538-7445","note":"PMID: 18593943","journalAbbreviation":"Cancer Res.","language":"eng","author":[{"family":"Schmidt","given":"Marcus"},{"family":"Böhm","given":"Daniel"},{"family":"Törne","given":"Christian","non-dropping-particle":"von"},{"family":"Steiner","given":"Eric"},{"family":"Puhl","given":"Alexander"},{"family":"Pilch","given":"Henryk"},{"family":"Lehr","given":"Hans-Anton"},{"family":"Hengstler","given":"Jan G."},{"family":"Kölbl","given":"Heinz"},{"family":"Gehrmann","given":"Mathias"}],"issued":{"date-parts":[["2008",7,1]]}}}],"schema":"https://github.com/citation-style-language/schema/raw/master/csl-citation.json"}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GSE12093</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136/0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0/136</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k2ARbsn5","properties":{"formattedCitation":"(2)","plainCitation":"(2)","noteIndex":0},"citationItems":[{"id":47,"uris":["http://zotero.org/users/local/N5R1corn/items/44BF3YAS"],"uri":["http://zotero.org/users/local/N5R1corn/items/44BF3YAS"],"itemData":{"id":47,"type":"article-journal","title":"The 76-gene signature defines high-risk patients that benefit from adjuvant tamoxifen therapy","container-title":"Breast Cancer Research and Treatment","page":"303-309","volume":"116","issue":"2","source":"PubMed","abstract":"PURPOSE: To assess the benefit from adjuvant systemic tamoxifen therapy in breast cancer risk groups identified by the previously established prognostic 76-gene signature.\nMETHODS: In 300 lymph node-negative (LNN), estrogen receptor-positive (ER+) breast cancer patients (136 treated with adjuvant tamoxifen, 164 having received no systemic adjuvant therapy), distant metastasis-free survival (DMFS) as a function of the 76-gene signature was determined in a multicenter fashion.\nRESULTS: In 136 tamoxifen-treated patients, the 76-gene signature identified a group of patients with a poor prognosis [hazard ratio (HR), 4.62; P = 0.0248]. These patients showed a 12.3% absolute benefit of tamoxifen in 10-year DMFS (HR, 0.52; P = 0.0318) compared with untreated high-risk patients. This represented a 71% increase in relative benefit compared with the 7.2% absolute benefit observed for all 300 patients without using the gene signature. In the low-risk group there was no significant 10-year DMFS benefit of tamoxifen.\nCONCLUSIONS: The 76-gene signature defines high-risk patients who benefit from adjuvant tamoxifen therapy. Although we did not study the value of chemotherapy in this study, low-risk patients identified by the 76-gene signature have a prognosis good enough that chemotherapy would be difficult to justify. The prognosis of these patients is sufficiently good, in fact, that a disease-free benefit for tamoxifen therapy is difficult to prove, though benefits in terms of loco-regional relapse and a reduction in risk for contralateral breast cancer might justify hormonal therapy in these patients.","DOI":"10.1007/s10549-008-0183-2","ISSN":"1573-7217","note":"PMID: 18821012","journalAbbreviation":"Breast Cancer Res. Treat.","language":"eng","author":[{"family":"Zhang","given":"Yi"},{"family":"Sieuwerts","given":"Anieta M."},{"family":"McGreevy","given":"Michelle"},{"family":"Casey","given":"Graham"},{"family":"Cufer","given":"Tanja"},{"family":"Paradiso","given":"Angelo"},{"family":"Harbeck","given":"Nadia"},{"family":"Span","given":"Paul N."},{"family":"Hicks","given":"David G."},{"family":"Crowe","given":"Joseph"},{"family":"Tubbs","given":"Raymond R."},{"family":"Budd","given":"G. Thomas"},{"family":"Lyons","given":"Joanne"},{"family":"Sweep","given":"Fred C. G. J."},{"family":"Schmitt","given":"Manfred"},{"family":"Schittulli","given":"Francesco"},{"family":"Golouh","given":"Rastko"},{"family":"Talantov","given":"Dmitri"},{"family":"Wang","given":"Yixin"},{"family":"Foekens","given":"John A."}],"issued":{"date-parts":[["2009",7]]}}}],"schema":"https://github.com/citation-style-language/schema/raw/master/csl-citation.json"}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GSE12276</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67/122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48/0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88/116</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112/92</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166/38</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cp8npesq","properties":{"formattedCitation":"(3)","plainCitation":"(3)","noteIndex":0},"citationItems":[{"id":49,"uris":["http://zotero.org/users/local/N5R1corn/items/2GDP8ZTB"],"uri":["http://zotero.org/users/local/N5R1corn/items/2GDP8ZTB"],"itemData":{"id":49,"type":"article-journal","title":"Genes that mediate breast cancer metastasis to the brain","container-title":"Nature","page":"1005-1009","volume":"459","issue":"7249","source":"PubMed","abstract":"The molecular basis for breast cancer metastasis to the brain is largely unknown. Brain relapse typically occurs years after the removal of a breast tumour, suggesting that disseminated cancer cells must acquire specialized functions to take over this organ. Here we show that breast cancer metastasis to the brain involves mediators of extravasation through non-fenestrated capillaries, complemented by specific enhancers of blood-brain barrier crossing and brain colonization. We isolated cells that preferentially infiltrate the brain from patients with advanced disease. Gene expression analysis of these cells and of clinical samples, coupled with functional analysis, identified the cyclooxygenase COX2 (also known as PTGS2), the epidermal growth factor receptor (EGFR) ligand HBEGF, and the alpha2,6-sialyltransferase ST6GALNAC5 as mediators of cancer cell passage through the blood-brain barrier. EGFR ligands and COX2 were previously linked to breast cancer infiltration of the lungs, but not the bones or liver, suggesting a sharing of these mediators in cerebral and pulmonary metastases. In contrast, ST6GALNAC5 specifically mediates brain metastasis. Normally restricted to the brain, the expression of ST6GALNAC5 in breast cancer cells enhances their adhesion to brain endothelial cells and their passage through the blood-brain barrier. This co-option of a brain sialyltransferase highlights the role of cell-surface glycosylation in organ-specific metastatic interactions.","DOI":"10.1038/nature08021","ISSN":"1476-4687","note":"PMID: 19421193\nPMCID: PMC2698953","journalAbbreviation":"Nature","language":"eng","author":[{"family":"Bos","given":"Paula D."},{"family":"Zhang","given":"Xiang H.-F."},{"family":"Nadal","given":"Cristina"},{"family":"Shu","given":"Weiping"},{"family":"Gomis","given":"Roger R."},{"family":"Nguyen","given":"Don X."},{"family":"Minn","given":"Andy J."},{"family":"Vijver","given":"Marc J.","non-dropping-particle":"van de"},{"family":"Gerald","given":"William L."},{"family":"Foekens","given":"John A."},{"family":"Massagué","given":"Joan"}],"issued":{"date-parts":[["2009",6,18]]}}}],"schema":"https://github.com/citation-style-language/schema/raw/master/csl-citation.json"}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(3)</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GSE1456</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94/60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29/130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45/114</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FXAi1XK8","properties":{"formattedCitation":"(4)","plainCitation":"(4)","noteIndex":0},"citationItems":[{"id":51,"uris":["http://zotero.org/users/local/N5R1corn/items/8Q4C6UKF"],"uri":["http://zotero.org/users/local/N5R1corn/items/8Q4C6UKF"],"itemData":{"id":51,"type":"article-journal","title":"Gene expression profiling spares early breast cancer patients from adjuvant therapy: derived and validated in two population-based cohorts","container-title":"Breast cancer research: BCR","page":"R953-964","volume":"7","issue":"6","source":"PubMed","abstract":"INTRODUCTION: Adjuvant breast cancer therapy significantly improves survival, but overtreatment and undertreatment are major problems. Breast cancer expression profiling has so far mainly been used to identify women with a poor prognosis as candidates for adjuvant therapy but without demonstrated value for therapy prediction.\nMETHODS: We obtained the gene expression profiles of 159 population-derived breast cancer patients, and used hierarchical clustering to identify the signature associated with prognosis and impact of adjuvant therapies, defined as distant metastasis or death within 5 years. Independent datasets of 76 treated population-derived Swedish patients, 135 untreated population-derived Swedish patients and 78 Dutch patients were used for validation. The inclusion and exclusion criteria for the studies of population-derived Swedish patients were defined.\nRESULTS: Among the 159 patients, a subset of 64 genes was found to give an optimal separation of patients with good and poor outcomes. Hierarchical clustering revealed three subgroups: patients who did well with therapy, patients who did well without therapy, and patients that failed to benefit from given therapy. The expression profile gave significantly better prognostication (odds ratio, 4.19; P = 0.007) (breast cancer end-points odds ratio, 10.64) compared with the Elston-Ellis histological grading (odds ratio of grade 2 vs 1 and grade 3 vs 1, 2.81 and 3.32 respectively; P = 0.24 and 0.16), tumor stage (odds ratio of stage 2 vs 1 and stage 3 vs 1, 1.11 and 1.28; P = 0.83 and 0.68) and age (odds ratio, 0.11; P = 0.55). The risk groups were consistent and validated in the independent Swedish and Dutch data sets used with 211 and 78 patients, respectively.\nCONCLUSION: We have identified discriminatory gene expression signatures working both on untreated and systematically treated primary breast cancer patients with the potential to spare them from adjuvant therapy.","DOI":"10.1186/bcr1325","ISSN":"1465-542X","note":"PMID: 16280042\nPMCID: PMC1410752","title-short":"Gene expression profiling spares early breast cancer patients from adjuvant therapy","journalAbbreviation":"Breast Cancer Res.","language":"eng","author":[{"family":"Pawitan","given":"Yudi"},{"family":"Bjöhle","given":"Judith"},{"family":"Amler","given":"Lukas"},{"family":"Borg","given":"Anna-Lena"},{"family":"Egyhazi","given":"Suzanne"},{"family":"Hall","given":"Per"},{"family":"Han","given":"Xia"},{"family":"Holmberg","given":"Lars"},{"family":"Huang","given":"Fei"},{"family":"Klaar","given":"Sigrid"},{"family":"Liu","given":"Edison T."},{"family":"Miller","given":"Lance"},{"family":"Nordgren","given":"Hans"},{"family":"Ploner","given":"Alexander"},{"family":"Sandelin","given":"Kerstin"},{"family":"Shaw","given":"Peter M."},{"family":"Smeds","given":"Johanna"},{"family":"Skoog","given":"Lambert"},{"family":"Wedrén","given":"Sara"},{"family":"Bergh","given":"Jonas"}],"issued":{"date-parts":[["2005"]]}}}],"schema":"https://github.com/citation-style-language/schema/raw/master/csl-citation.json"}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(4)</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GSE16391</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61.18±8.63</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37/18</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22/33</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0/55</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14/41</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42/3</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EqMCT8AM","properties":{"formattedCitation":"(5)","plainCitation":"(5)","noteIndex":0},"citationItems":[{"id":53,"uris":["http://zotero.org/users/local/N5R1corn/items/JTASX8BN"],"uri":["http://zotero.org/users/local/N5R1corn/items/JTASX8BN"],"itemData":{"id":53,"type":"article-journal","title":"The Gene expression Grade Index: a potential predictor of relapse for endocrine-treated breast cancer patients in the BIG 1-98 trial","container-title":"BMC medical genomics","page":"40","volume":"2","source":"PubMed","abstract":"BACKGROUND: We have previously shown that the Gene expression Grade Index (GGI) was able to identify two subtypes of estrogen receptor (ER)-positive tumors that were associated with statistically distinct clinical outcomes in both untreated and tamoxifen-treated patients. Here, we aim to investigate the ability of the GGI to predict relapses in postmenopausal women who were treated with tamoxifen (T) or letrozole (L) within the BIG 1-98 trial.\nMETHODS: We generated gene expression profiles (Affymetrix) and computed the GGI for a matched, case-control sample of patients enrolled in the BIG 1-98 trial from the two hospitals where frozen samples were available. All relapses (cases) were identified from patients randomized to receive monotherapy or from the switching treatment arms for whom relapse occurred before the switch. Each case was randomly matched with four controls based upon nodal status and treatment (T or L). The prognostic value of GGI was assessed as a continuous predictor and divided at the median. Predictive accuracy of GGI was estimated using time-dependent area under the curve (AUC) of the ROC curves.\nRESULTS: Frozen samples were analyzable for 48 patients (10 cases and 38 controls). Seven of the 10 cases had been assigned to receive L. Cases and controls were comparable with respect to menopausal and nodal status, local and chemotherapy, and HER2 positivity. Cases were slightly older than controls and had a larger proportion of large, poorly differentiated ER+/PgR- tumors. The GGI was significantly and linearly related to risk of relapse: each 10-unit increase in GGI resulted in an increase of approximately 11% in the hazard rate (p = 0.02). Within the subgroups of patients with node-positive disease or who were treated with L, the hazard of relapse was significantly greater for patients with GGI at or above the median. AUC reached a maximum of 78% at 27 months.\nCONCLUSION: This analysis supports the GGI as a good predictor of relapse for ER-positive patients, even among patients who receive L. Validation of these results, in a larger series from BIG 1-98, is planned using the simplified GGI represented by a smaller set of genes and tested by qRT-PCR on paraffin-embedded tissues.","DOI":"10.1186/1755-8794-2-40","ISSN":"1755-8794","note":"PMID: 19573224\nPMCID: PMC2713270","title-short":"The Gene expression Grade Index","journalAbbreviation":"BMC Med Genomics","language":"eng","author":[{"family":"Desmedt","given":"Christine"},{"family":"Giobbie-Hurder","given":"Anita"},{"family":"Neven","given":"Patrick"},{"family":"Paridaens","given":"Robert"},{"family":"Christiaens","given":"Marie-Rose"},{"family":"Smeets","given":"Ann"},{"family":"Lallemand","given":"Françoise"},{"family":"Haibe-Kains","given":"Benjamin"},{"family":"Viale","given":"Giuseppe"},{"family":"Gelber","given":"Richard D."},{"family":"Piccart","given":"Martine"},{"family":"Sotiriou","given":"Christos"}],"issued":{"date-parts":[["2009",7,2]]}}}],"schema":"https://github.com/citation-style-language/schema/raw/master/csl-citation.json"}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(5)</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GSE17705</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175/112</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0/298</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hhYkGbMR","properties":{"formattedCitation":"(6)","plainCitation":"(6)","noteIndex":0},"citationItems":[{"id":56,"uris":["http://zotero.org/users/local/N5R1corn/items/3H4WFMGK"],"uri":["http://zotero.org/users/local/N5R1corn/items/3H4WFMGK"],"itemData":{"id":56,"type":"article-journal","title":"Genomic index of sensitivity to endocrine therapy for breast cancer","container-title":"Journal of Clinical Oncology: Official Journal of the American Society of Clinical Oncology","page":"4111-4119","volume":"28","issue":"27","source":"PubMed","abstract":"PURPOSE: We hypothesize that measurement of gene expression related to estrogen receptor α (ER; gene name ESR1) within a breast cancer sample represents intrinsic tumoral sensitivity to adjuvant endocrine therapy.\nMETHODS: A genomic index for sensitivity to endocrine therapy (SET) index was defined from genes coexpressed with ESR1 in 437 microarray profiles from newly diagnosed breast cancer, unrelated to treatment or outcome. The association of SET index and ESR1 levels with distant relapse risk was evaluated from microarrays of ER-positive breast cancer in two cohorts who received 5 years of tamoxifen alone as adjuvant endocrine therapy (n = 225 and 298, respectively), a cohort who received neoadjuvant chemotherapy followed by tamoxifen and/or aromatase inhibition (n = 122), and two cohorts who received no adjuvant systemic therapy (n = 208 and 133, respectively).\nRESULTS: The SET index (165 genes) was significantly associated with distant relapse or death risk in both tamoxifen-treated cohorts (hazard ratio [HR] = 0.70, 95% CI, 0.56 to 0.88, P = .002; and HR = 0.76, 95% CI, 0.63 to 0.93, P = .007) and in the chemo-endocrine-treated cohort (HR = 0.19; 95% CI, 0.05 to 0.69, P = .011) independently from pathologic response to chemotherapy, but was not prognostic in two untreated cohorts. No distant relapse or death was observed after tamoxifen alone if node-negative and high SET or after chemo-endocrine therapy if intermediate or high SET.\nCONCLUSION: The SET index of ER-related transcription predicted survival benefit from adjuvant endocrine therapy, not inherent prognosis. Prior chemotherapy seemed to enhance the efficacy of adjuvant endocrine therapy related to SET index.","DOI":"10.1200/JCO.2010.28.4273","ISSN":"1527-7755","note":"PMID: 20697068\nPMCID: PMC2953969","journalAbbreviation":"J. Clin. Oncol.","language":"eng","author":[{"family":"Symmans","given":"W. Fraser"},{"family":"Hatzis","given":"Christos"},{"family":"Sotiriou","given":"Christos"},{"family":"Andre","given":"Fabrice"},{"family":"Peintinger","given":"Florentia"},{"family":"Regitnig","given":"Peter"},{"family":"Daxenbichler","given":"Guenter"},{"family":"Desmedt","given":"Christine"},{"family":"Domont","given":"Julien"},{"family":"Marth","given":"Christian"},{"family":"Delaloge","given":"Suzette"},{"family":"Bauernhofer","given":"Thomas"},{"family":"Valero","given":"Vicente"},{"family":"Booser","given":"Daniel J."},{"family":"Hortobagyi","given":"Gabriel N."},{"family":"Pusztai","given":"Lajos"}],"issued":{"date-parts":[["2010",9,20]]}}}],"schema":"https://github.com/citation-style-language/schema/raw/master/csl-citation.json"}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(6)</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GSE17907</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49.86±14.08</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13/34</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14/31</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25/22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28/19</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4/35</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w0r788dk","properties":{"formattedCitation":"(7)","plainCitation":"(7)","noteIndex":0},"citationItems":[{"id":58,"uris":["http://zotero.org/users/local/N5R1corn/items/8ZYTPXBH"],"uri":["http://zotero.org/users/local/N5R1corn/items/8ZYTPXBH"],"itemData":{"id":58,"type":"article-journal","title":"Genome profiling of ERBB2-amplified breast cancers","container-title":"BMC cancer","page":"539","volume":"10","source":"PubMed","abstract":"BACKGROUND: Around 20% of breast cancers (BC) show ERBB2 gene amplification and overexpression of the ERBB2 tyrosine kinase receptor. They are associated with a poor prognosis but can benefit from targeted therapy. A better knowledge of these BCs, genomically and biologically heterogeneous, may help understand their behavior and design new therapeutic strategies.\nMETHODS: We defined the high resolution genome and gene expression profiles of 54 ERBB2-amplified BCs using 244K oligonucleotide array-comparative genomic hybridization and whole-genome DNA microarrays. Expression of ERBB2, phosphorylated ERBB2, EGFR, IGF1R and FOXA1 proteins was assessed by immunohistochemistry to evaluate the functional ERBB2 status and identify co-expressions.\nRESULTS: First, we identified the ERBB2-C17orf37-GRB7 genomic segment as the minimal common 17q12-q21 amplicon, and CRKRS and IKZF3 as the most frequent centromeric and telomeric amplicon borders, respectively. Second, GISTIC analysis identified 17 other genome regions affected by copy number aberration (CNA) (amplifications, gains, losses). The expression of 37 genes of these regions was deregulated. Third, two types of heterogeneity were observed in ERBB2-amplified BCs. The genomic profiles of estrogen receptor-positive (ER+) and negative (ER-) ERBB2-amplified BCs were different. The WNT/β-catenin signaling pathway was involved in ER- ERBB2-amplified BCs, and PVT1 and TRPS1 were candidate oncogenes associated with ER+ ERBB2-amplified BCs. The size of the ERBB2 amplicon was different in inflammatory (IBC) and non-inflammatory BCs. ERBB2-amplified IBCs were characterized by the downregulated and upregulated mRNA expression of ten and two genes in proportion to CNA, respectively. IHC results showed (i) a linear relationship between ERBB2 gene amplification and its gene and protein expressions with a good correlation between ERBB2 expression and phosphorylation status; (ii) a potential signaling cross-talk between EGFR or IGF1R and ERBB2, which could influence response of ERBB2-positive BCs to inhibitors. FOXA1 was frequently coexpressed with ERBB2 but its expression did not impact on the outcome of patients with ERBB2-amplified tumors.\nCONCLUSION: We have shown that ER+ and ER- ERBB2-amplified BCs are different, distinguished ERBB2 amplicons in IBC and non-IBC, and identified genomic features that may be useful in the design of alternative therapeutical strategies.","DOI":"10.1186/1471-2407-10-539","ISSN":"1471-2407","note":"PMID: 20932292\nPMCID: PMC2958950","journalAbbreviation":"BMC Cancer","language":"eng","author":[{"family":"Sircoulomb","given":"Fabrice"},{"family":"Bekhouche","given":"Ismahane"},{"family":"Finetti","given":"Pascal"},{"family":"Adélaïde","given":"José"},{"family":"Ben Hamida","given":"Azza"},{"family":"Bonansea","given":"Julien"},{"family":"Raynaud","given":"Stéphane"},{"family":"Innocenti","given":"Charlène"},{"family":"Charafe-Jauffret","given":"Emmanuelle"},{"family":"Tarpin","given":"Carole"},{"family":"Ben Ayed","given":"Farhat"},{"family":"Viens","given":"Patrice"},{"family":"Jacquemier","given":"Jocelyne"},{"family":"Bertucci","given":"François"},{"family":"Birnbaum","given":"Daniel"},{"family":"Chaffanet","given":"Max"}],"issued":{"date-parts":[["2010",10,8]]}}}],"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(7)</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GSE19615</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53.89±11.78</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51/64</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62/53</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45/70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51/64</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79/36</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pBGztbmZ","properties":{"formattedCitation":"(8)","plainCitation":"(8)","noteIndex":0},"citationItems":[{"id":60,"uris":["http://zotero.org/users/local/N5R1corn/items/MQ8HUQ8F"],"uri":["http://zotero.org/users/local/N5R1corn/items/MQ8HUQ8F"],"itemData":{"id":60,"type":"article-journal","title":"Amplification of LAPTM4B and YWHAZ contributes to chemotherapy resistance and recurrence of breast cancer","container-title":"Nature Medicine","page":"214-218","volume":"16","issue":"2","source":"PubMed","abstract":"Adjuvant chemotherapy for breast cancer after surgery has effectively lowered metastatic recurrence rates. However, a considerable proportion of women suffer recurrent cancer at distant metastatic sites despite adjuvant treatment. Identification of the genes crucial for tumor response to specific chemotherapy drugs is a challenge but is necessary to improve outcomes. By using integrated genomics, we identified a small number of overexpressed and amplified genes from chromosome 8q22 that were associated with early disease recurrence despite anthracycline-based adjuvant chemotherapy. We confirmed the association in an analysis of multiple independent cohorts. SiRNA-mediated knockdown of either of two of these genes, the antiapoptotic gene YWHAZ and a lysosomal gene LAPTM4B, sensitized tumor cells to anthracyclines, and overexpression of either of the genes induced anthracycline resistance. Overexpression of LAPTM4B resulted in sequestration of the anthracycline doxorubicin, delaying its appearance in the nucleus. Overexpression of these two genes was associated with poor tumor response to anthracycline treatment in a neoadjuvant chemotherapy trial in women with primary breast cancer. Our results suggest that 8q22 amplification and overexpression of LAPTM4B and YWHAZ contribute to de novo chemoresistance to anthracyclines and are permissive for metastatic recurrence. Overexpression of these two genes may predict anthracycline resistance and influence selection of chemotherapy.","DOI":"10.1038/nm.2090","ISSN":"1546-170X","note":"PMID: 20098429\nPMCID: PMC2826790","journalAbbreviation":"Nat. Med.","language":"eng","author":[{"family":"Li","given":"Yang"},{"family":"Zou","given":"Lihua"},{"family":"Li","given":"Qiyuan"},{"family":"Haibe-Kains","given":"Benjamin"},{"family":"Tian","given":"Ruiyang"},{"family":"Li","given":"Yan"},{"family":"Desmedt","given":"Christine"},{"family":"Sotiriou","given":"Christos"},{"family":"Szallasi","given":"Zoltan"},{"family":"Iglehart","given":"J. Dirk"},{"family":"Richardson","given":"Andrea L."},{"family":"Wang","given":"Zhigang Charles"}],"issued":{"date-parts":[["2010",2]]}}}],"schema":"https://github.com/citation-style-language/schema/raw/master/csl-citation.json"}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(8)</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GSE2034</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53.88±12.32</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286/0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77/209</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120/166</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240/46</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Eb29QXEo","properties":{"formattedCitation":"(9)","plainCitation":"(9)","noteIndex":0},"citationItems":[{"id":62,"uris":["http://zotero.org/users/local/N5R1corn/items/ZE3S8ZUY"],"uri":["http://zotero.org/users/local/N5R1corn/items/ZE3S8ZUY"],"itemData":{"id":62,"type":"article-journal","title":"Gene-expression profiles to predict distant metastasis of lymph-node-negative primary breast cancer","container-title":"Lancet (London, England)","page":"671-679","volume":"365","issue":"9460","source":"PubMed","abstract":"BACKGROUND: Genome-wide measures of gene expression can identify patterns of gene activity that subclassify tumours and might provide a better means than is currently available for individual risk assessment in patients with lymph-node-negative breast cancer.\nMETHODS: We analysed, with Affymetrix Human U133a GeneChips, the expression of 22000 transcripts from total RNA of frozen tumour samples from 286 lymph-node-negative patients who had not received adjuvant systemic treatment.\nFINDINGS: In a training set of 115 tumours, we identified a 76-gene signature consisting of 60 genes for patients positive for oestrogen receptors (ER) and 16 genes for ER-negative patients. This signature showed 93% sensitivity and 48% specificity in a subsequent independent testing set of 171 lymph-node-negative patients. The gene profile was highly informative in identifying patients who developed distant metastases within 5 years (hazard ratio 5.67 [95% CI 2.59-12.4]), even when corrected for traditional prognostic factors in multivariate analysis (5.55 [2.46-12.5]). The 76-gene profile also represented a strong prognostic factor for the development of metastasis in the subgroups of 84 premenopausal patients (9.60 [2.28-40.5]), 87 postmenopausal patients (4.04 [1.57-10.4]), and 79 patients with tumours of 10-20 mm (14.1 [3.34-59.2]), a group of patients for whom prediction of prognosis is especially difficult.\nINTERPRETATION: The identified signature provides a powerful tool for identification of patients at high risk of distant recurrence. The ability to identify patients who have a favourable prognosis could, after independent confirmation, allow clinicians to avoid adjuvant systemic therapy or to choose less aggressive therapeutic options.","DOI":"10.1016/S0140-6736(05)17947-1","ISSN":"1474-547X","note":"PMID: 15721472","journalAbbreviation":"Lancet","language":"eng","author":[{"family":"Wang","given":"Yixin"},{"family":"Klijn","given":"Jan G. M."},{"family":"Zhang","given":"Yi"},{"family":"Sieuwerts","given":"Anieta M."},{"family":"Look","given":"Maxime P."},{"family":"Yang","given":"Fei"},{"family":"Talantov","given":"Dmitri"},{"family":"Timmermans","given":"Mieke"},{"family":"Meijer-van Gelder","given":"Marion E."},{"family":"Yu","given":"Jack"},{"family":"Jatkoe","given":"Tim"},{"family":"Berns","given":"Els M. J. J."},{"family":"Atkins","given":"David"},{"family":"Foekens","given":"John A."}],"issued":{"date-parts":[["2005",2,19]]}}}],"schema":"https://github.com/citation-style-language/schema/raw/master/csl-citation.json"}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(9)</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GSE20685</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47.89±10.69</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123/202</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137/190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rMh7LDWS","properties":{"formattedCitation":"(10)","plainCitation":"(10)","noteIndex":0},"citationItems":[{"id":64,"uris":["http://zotero.org/users/local/N5R1corn/items/SEDK8Q5H"],"uri":["http://zotero.org/users/local/N5R1corn/items/SEDK8Q5H"],"itemData":{"id":64,"type":"article-journal","title":"Correlation of microarray-based breast cancer molecular subtypes and clinical outcomes: implications for treatment optimization","container-title":"BMC cancer","page":"143","volume":"11","source":"PubMed","abstract":"BACKGROUND: Optimizing treatment through microarray-based molecular subtyping is a promising method to address the problem of heterogeneity in breast cancer; however, current application is restricted to prediction of distant recurrence risk. This study investigated whether breast cancer molecular subtyping according to its global intrinsic biology could be used for treatment customization.\nMETHODS: Gene expression profiling was conducted on fresh frozen breast cancer tissue collected from 327 patients in conjunction with thoroughly documented clinical data. A method of molecular subtyping based on 783 probe-sets was established and validated. Statistical analysis was performed to correlate molecular subtypes with survival outcome and adjuvant chemotherapy regimens. Heterogeneity of molecular subtypes within groups sharing the same distant recurrence risk predicted by genes of the Oncotype and MammaPrint predictors was studied.\nRESULTS: We identified six molecular subtypes of breast cancer demonstrating distinctive molecular and clinical characteristics. These six subtypes showed similarities and significant differences from the Perou-Sørlie intrinsic types. Subtype I breast cancer was in concordance with chemosensitive basal-like intrinsic type. Adjuvant chemotherapy of lower intensity with CMF yielded survival outcome similar to those of CAF in this subtype. Subtype IV breast cancer was positive for ER with a full-range expression of HER2, responding poorly to CMF; however, this subtype showed excellent survival when treated with CAF. Reduced expression of a gene associated with methotrexate sensitivity in subtype IV was the likely reason for poor response to methotrexate. All subtype V breast cancer was positive for ER and had excellent long-term survival with hormonal therapy alone following surgery and/or radiation therapy. Adjuvant chemotherapy did not provide any survival benefit in early stages of subtype V patients. Subtype V was consistent with a unique subset of luminal A intrinsic type. When molecular subtypes were correlated with recurrence risk predicted by genes of Oncotype and MammaPrint predictors, a significant degree of heterogeneity within the same risk group was noted. This heterogeneity was distributed over several subtypes, suggesting that patients in the same risk groups require different treatment approaches.\nCONCLUSIONS: Our results indicate that the molecular subtypes established in this study can be utilized for customization of breast cancer treatment.","DOI":"10.1186/1471-2407-11-143","ISSN":"1471-2407","note":"PMID: 21501481\nPMCID: PMC3094326","title-short":"Correlation of microarray-based breast cancer molecular subtypes and clinical outcomes","journalAbbreviation":"BMC Cancer","language":"eng","author":[{"family":"Kao","given":"Kuo-Jang"},{"family":"Chang","given":"Kai-Ming"},{"family":"Hsu","given":"Hui-Chi"},{"family":"Huang","given":"Andrew T."}],"issued":{"date-parts":[["2011",4,18]]}}}],"schema":"https://github.com/citation-style-language/schema/raw/master/csl-citation.json"}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(10)</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GSE20711</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55.97±11.53</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18/70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46/42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45/42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62/26</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BSMtcOJh","properties":{"formattedCitation":"(11)","plainCitation":"(11)","noteIndex":0},"citationItems":[{"id":66,"uris":["http://zotero.org/users/local/N5R1corn/items/Z29U7NWH"],"uri":["http://zotero.org/users/local/N5R1corn/items/Z29U7NWH"],"itemData":{"id":66,"type":"article-journal","title":"DNA methylation profiling reveals a predominant immune component in breast cancers","container-title":"EMBO molecular medicine","page":"726-741","volume":"3","issue":"12","source":"PubMed","abstract":"Breast cancer is a molecularly, biologically and clinically heterogeneous group of disorders. Understanding this diversity is essential to improving diagnosis and optimizing treatment. Both genetic and acquired epigenetic abnormalities participate in cancer, but the involvement of the epigenome in breast cancer and its contribution to the complexity of the disease are still poorly understood. By means of DNA methylation profiling of 248 breast tissues, we have highlighted the existence of previously unrecognized breast cancer groups that go beyond the currently known 'expression subtypes'. Interestingly, we showed that DNA methylation profiling can reflect the cell type composition of the tumour microenvironment, and in particular a T lymphocyte infiltration of the tumours. Further, we highlighted a set of immune genes having high prognostic value in specific tumour categories. The immune component uncovered here by DNA methylation profiles provides a new perspective for the importance of the microenvironment in breast cancer, holding implications for better management of breast cancer patients.","DOI":"10.1002/emmm.201100801","ISSN":"1757-4684","note":"PMID: 21910250\nPMCID: PMC3377115","journalAbbreviation":"EMBO Mol Med","language":"eng","author":[{"family":"Dedeurwaerder","given":"Sarah"},{"family":"Desmedt","given":"Christine"},{"family":"Calonne","given":"Emilie"},{"family":"Singhal","given":"Sandeep K."},{"family":"Haibe-Kains","given":"Benjamin"},{"family":"Defrance","given":"Matthieu"},{"family":"Michiels","given":"Stefan"},{"family":"Volkmar","given":"Michael"},{"family":"Deplus","given":"Rachel"},{"family":"Luciani","given":"Judith"},{"family":"Lallemand","given":"Françoise"},{"family":"Larsimont","given":"Denis"},{"family":"Toussaint","given":"Jérôme"},{"family":"Haussy","given":"Sandy"},{"family":"Rothé","given":"Françoise"},{"family":"Rouas","given":"Ghizlane"},{"family":"Metzger","given":"Otto"},{"family":"Majjaj","given":"Samira"},{"family":"Saini","given":"Kamal"},{"family":"Putmans","given":"Pascale"},{"family":"Hames","given":"Gérald"},{"family":"Baren","given":"Nicolas","non-dropping-particle":"van"},{"family":"Coulie","given":"Pierre G."},{"family":"Piccart","given":"Martine"},{"family":"Sotiriou","given":"Christos"},{"family":"Fuks","given":"François"}],"issued":{"date-parts":[["2011",12]]}}}],"schema":"https://github.com/citation-style-language/schema/raw/master/csl-citation.json"}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(11)</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GSE21653</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54.48±14.06</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134/125</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120/140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113/150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127/136</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216/29</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6C7A5F"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r5JNoR01","properties":{"formattedCitation":"(12)","plainCitation":"(12)","noteIndex":0},"citationItems":[{"id":68,"uris":["http://zotero.org/users/local/N5R1corn/items/PKGUUB9J"],"uri":["http://zotero.org/users/local/N5R1corn/items/PKGUUB9J"],"itemData":{"id":68,"type":"article-journal","title":"Down-regulation of ECRG4, a candidate tumor suppressor gene, in human breast cancer","container-title":"PloS One","page":"e27656","volume":"6","issue":"11","source":"PubMed","abstract":"INTRODUCTION: ECRG4/C2ORF40 is a potential tumor suppressor gene (TSG) recently identified in esophageal carcinoma. Its expression, gene copy number and prognostic value have never been explored in breast cancer.\nMETHODS: Using DNA microarray and array-based comparative genomic hybridization (aCGH), we examined ECRG4 mRNA expression and copy number alterations in 353 invasive breast cancer samples and normal breast (NB) samples. A meta-analysis was done on a large public retrospective gene expression dataset (n = 1,387) in search of correlations between ECRG4 expression and histo-clinical features including survival.\nRESULTS: ECRG4 was underexpressed in 94.3% of cancers when compared to NB. aCGH data revealed ECRG4 loss in 18% of tumors, suggesting that DNA loss is not the main mechanism of underexpression. Meta-analysis showed that ECRG4 expression was significantly higher in tumors displaying earlier stage, smaller size, negative axillary lymph node status, lower grade, and normal-like subtype. Higher expression was also associated with disease-free survival (DFS; HR = 0.84 [0.76-0.92], p = 0.0002) and overall survival (OS; HR = 0.72 [0.63-0.83], p = 5.0E-06). In multivariate analysis including the other histo-clinical prognostic features, ECRG4 expression remained the only prognostic factor for DFS and OS.\nCONCLUSIONS: Our data suggest that ECRG4 is a candidate TSG in breast cancer, the expression of which may help improve the prognostication. If functional analyses confirm this TSG role, restoring ECRG4 expression in the tumor may represent a promising therapeutic approach.","DOI":"10.1371/journal.pone.0027656","ISSN":"1932-6203","note":"PMID: 22110708\nPMCID: PMC3218004","journalAbbreviation":"PLoS ONE","language":"eng","author":[{"family":"Sabatier","given":"Renaud"},{"family":"Finetti","given":"Pascal"},{"family":"Adelaide","given":"José"},{"family":"Guille","given":"Arnaud"},{"family":"Borg","given":"Jean-Paul"},{"family":"Chaffanet","given":"Max"},{"family":"Lane","given":"Lydie"},{"family":"Birnbaum","given":"Daniel"},{"family":"Bertucci","given":"François"}],"issued":{"date-parts":[["2011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(12)</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GSE2603</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55.81±13.59</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34/65</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42/57</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55/43</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62/26</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cr3sD02c","properties":{"formattedCitation":"(13)","plainCitation":"(13)","noteIndex":0},"citationItems":[{"id":70,"uris":["http://zotero.org/users/local/N5R1corn/items/X9WHKJKU"],"uri":["http://zotero.org/users/local/N5R1corn/items/X9WHKJKU"],"itemData":{"id":70,"type":"article-journal","title":"Genes that mediate breast cancer metastasis to lung","container-title":"Nature","page":"518-524","volume":"436","issue":"7050","source":"PubMed","abstract":"By means of in vivo selection, transcriptomic analysis, functional verification and clinical validation, here we identify a set of genes that marks and mediates breast cancer metastasis to the lungs. Some of these genes serve dual functions, providing growth advantages both in the primary tumour and in the lung microenvironment. Others contribute to aggressive growth selectively in the lung. Many encode extracellular proteins and are of previously unknown relevance to cancer metastasis.","DOI":"10.1038/nature03799","ISSN":"1476-4687","note":"PMID: 16049480\nPMCID: PMC1283098","journalAbbreviation":"Nature","language":"eng","author":[{"family":"Minn","given":"Andy J."},{"family":"Gupta","given":"Gaorav P."},{"family":"Siegel","given":"Peter M."},{"family":"Bos","given":"Paula D."},{"family":"Shu","given":"Weiping"},{"family":"Giri","given":"Dilip D."},{"family":"Viale","given":"Agnes"},{"family":"Olshen","given":"Adam B."},{"family":"Gerald","given":"William L."},{"family":"Massagué","given":"Joan"}],"issued":{"date-parts":[["2005",7,28]]}}}],"schema":"https://github.com/citation-style-language/schema/raw/master/csl-citation.json"}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(13)</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GSE26971</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131/100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0/277</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277/0</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NAR9QEYX","properties":{"formattedCitation":"(14)","plainCitation":"(14)","noteIndex":0},"citationItems":[{"id":72,"uris":["http://zotero.org/users/local/N5R1corn/items/NZ74I3C9"],"uri":["http://zotero.org/users/local/N5R1corn/items/NZ74I3C9"],"itemData":{"id":72,"type":"article-journal","title":"A new molecular predictor of distant recurrence in ER-positive, HER2-negative breast cancer adds independent information to conventional clinical risk factors","container-title":"Clinical Cancer Research: An Official Journal of the American Association for Cancer Research","page":"6012-6020","volume":"17","issue":"18","source":"PubMed","abstract":"PURPOSE: According to current guidelines, molecular tests predicting the outcome of breast cancer patients can be used to assist in making treatment decisions after consideration of conventional markers. We developed and validated a gene expression signature predicting the likelihood of distant recurrence in patients with estrogen receptor (ER)-positive, HER2-negative breast cancer treated with adjuvant endocrine therapy.\nEXPERIMENTAL DESIGN: RNA levels assessed by quantitative reverse transcriptase PCR in formalin-fixed, paraffin-embedded tumor tissue were used to calculate a risk score (Endopredict, EP) consisting of eight cancer-related and three reference genes. EP was combined with nodal status and tumor size into a comprehensive risk score, EPclin. Both prespecified risk scores including cutoff values to determine a risk group for each patient (low and high) were validated independently in patients from two large randomized phase III trials [Austrian Breast and Colorectal Cancer Study Group (ABCSG)-6: n = 378, ABCSG-8: n = 1,324].\nRESULTS: In both validation cohorts, continuous EP was an independent predictor of distant recurrence in multivariate analysis (ABCSG-6: P = 0.010, ABCSG-8: P &lt; 0.001). Combining Adjuvant!Online, quantitative ER, Ki67, and treatment with EP yielded a prognostic power significantly superior to the clinicopathologic factors alone [c-indices: 0.764 vs. 0.750, P = 0.024 (ABCSG-6) and 0.726 vs. 0.701, P = 0.003 (ABCSG-8)]. EPclin had c-indices of 0.788 and 0.732 and resulted in 10-year distant recurrence rates of 4% and 4% in EPclin low-risk and 28% and 22% in EPclin high-risk patients in ABCSG-6 (P &lt; 0.001) and ABCSG-8 (P &lt; 0.001), respectively.\nCONCLUSIONS: The multigene EP risk score provided additional prognostic information to the risk of distant recurrence of breast cancer patients, independent from clinicopathologic parameters. The EPclin score outperformed all conventional clinicopathologic risk factors.","DOI":"10.1158/1078-0432.CCR-11-0926","ISSN":"1078-0432","note":"PMID: 21807638","journalAbbreviation":"Clin. Cancer Res.","language":"eng","author":[{"family":"Filipits","given":"Martin"},{"family":"Rudas","given":"Margaretha"},{"family":"Jakesz","given":"Raimund"},{"family":"Dubsky","given":"Peter"},{"family":"Fitzal","given":"Florian"},{"family":"Singer","given":"Christian F."},{"family":"Dietze","given":"Otto"},{"family":"Greil","given":"Richard"},{"family":"Jelen","given":"Andrea"},{"family":"Sevelda","given":"Paul"},{"family":"Freibauer","given":"Christa"},{"family":"Müller","given":"Volkmar"},{"family":"Jänicke","given":"Fritz"},{"family":"Schmidt","given":"Marcus"},{"family":"Kölbl","given":"Heinz"},{"family":"Rody","given":"Achim"},{"family":"Kaufmann","given":"Manfred"},{"family":"Schroth","given":"Werner"},{"family":"Brauch","given":"Hiltrud"},{"family":"Schwab","given":"Matthias"},{"family":"Fritz","given":"Peter"},{"family":"Weber","given":"Karsten E."},{"family":"Feder","given":"Inke S."},{"family":"Hennig","given":"Guido"},{"family":"Kronenwett","given":"Ralf"},{"family":"Gehrmann","given":"Mathias"},{"family":"Gnant","given":"Michael"},{"literal":"EP Investigators"}],"issued":{"date-parts":[["2011",9,15]]}}}],"schema":"https://github.com/citation-style-language/schema/raw/master/csl-citation.json"}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(14)</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GSE2990</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58.24±11.92</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47/36</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85/15</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24/73</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6C7A5F"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J4rDKpFz","properties":{"formattedCitation":"(15)","plainCitation":"(15)","noteIndex":0},"citationItems":[{"id":74,"uris":["http://zotero.org/users/local/N5R1corn/items/I4N6CY3U"],"uri":["http://zotero.org/users/local/N5R1corn/items/I4N6CY3U"],"itemData":{"id":74,"type":"article-journal","title":"Gene expression profiling in breast cancer: understanding the molecular basis of histologic grade to improve prognosis","container-title":"Journal of the National Cancer Institute","page":"262-272","volume":"98","issue":"4","source":"PubMed","abstract":"BACKGROUND: Histologic grade in breast cancer provides clinically important prognostic information. However, 30%-60% of tumors are classified as histologic grade 2. This grade is associated with an intermediate risk of recurrence and is thus not informative for clinical decision making. We examined whether histologic grade was associated with gene expression profiles of breast cancers and whether such profiles could be used to improve histologic grading.\nMETHODS: We analyzed microarray data from 189 invasive breast carcinomas and from three published gene expression datasets from breast carcinomas. We identified differentially expressed genes in a training set of 64 estrogen receptor (ER)-positive tumor samples by comparing expression profiles between histologic grade 3 tumors and histologic grade 1 tumors and used the expression of these genes to define the gene expression grade index. Data from 597 independent tumors were used to evaluate the association between relapse-free survival and the gene expression grade index in a Kaplan-Meier analysis. All statistical tests were two-sided.\nRESULTS: We identified 97 genes in our training set that were associated with histologic grade; most of these genes were involved in cell cycle regulation and proliferation. In validation datasets, the gene expression grade index was strongly associated with histologic grade 1 and 3 status; however, among histologic grade 2 tumors, the index spanned the values for histologic grade 1-3 tumors. Among patients with histologic grade 2 tumors, a high gene expression grade index was associated with a higher risk of recurrence than a low gene expression grade index (hazard ratio = 3.61, 95% confidence interval = 2.25 to 5.78; P &lt; .001, log-rank test).\nCONCLUSIONS: Gene expression grade index appeared to reclassify patients with histologic grade 2 tumors into two groups with high versus low risks of recurrence. This approach may improve the accuracy of tumor grading and thus its prognostic value.","DOI":"10.1093/jnci/djj052","ISSN":"1460-2105","note":"PMID: 16478745","title-short":"Gene expression profiling in breast cancer","journalAbbreviation":"J. Natl. Cancer Inst.","language":"eng","author":[{"family":"Sotiriou","given":"Christos"},{"family":"Wirapati","given":"Pratyaksha"},{"family":"Loi","given":"Sherene"},{"family":"Harris","given":"Adrian"},{"family":"Fox","given":"Steve"},{"family":"Smeds","given":"Johanna"},{"family":"Nordgren","given":"Hans"},{"family":"Farmer","given":"Pierre"},{"family":"Praz","given":"Viviane"},{"family":"Haibe-Kains","given":"Benjamin"},{"family":"Desmedt","given":"Christine"},{"family":"Larsimont","given":"Denis"},{"family":"Cardoso","given":"Fatima"},{"family":"Peterse","given":"Hans"},{"family":"Nuyten","given":"Dimitry"},{"family":"Buyse","given":"Marc"},{"family":"Van de Vijver","given":"Marc J."},{"family":"Bergh","given":"Jonas"},{"family":"Piccart","given":"Martine"},{"family":"Delorenzi","given":"Mauro"}],"issued":{"date-parts":[["2006",2,15]]}}}],"schema":"https://github.com/citation-style-language/schema/raw/master/csl-citation.json"}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(15)</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GSE31519</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52.17±11.21</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18/45</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44/21</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67/0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67/0</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67/0</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vA0O3mus","properties":{"formattedCitation":"(16)","plainCitation":"(16)","noteIndex":0},"citationItems":[{"id":76,"uris":["http://zotero.org/users/local/N5R1corn/items/647SQ865"],"uri":["http://zotero.org/users/local/N5R1corn/items/647SQ865"],"itemData":{"id":76,"type":"article-journal","title":"A clinically relevant gene signature in triple negative and basal-like breast cancer","container-title":"Breast cancer research: BCR","page":"R97","volume":"13","issue":"5","source":"PubMed","abstract":"INTRODUCTION: Current prognostic gene expression profiles for breast cancer mainly reflect proliferation status and are most useful in ER-positive cancers. Triple negative breast cancers (TNBC) are clinically heterogeneous and prognostic markers and biology-based therapies are needed to better treat this disease.\nMETHODS: We assembled Affymetrix gene expression data for 579 TNBC and performed unsupervised analysis to define metagenes that distinguish molecular subsets within TNBC. We used n = 394 cases for discovery and n = 185 cases for validation. Sixteen metagenes emerged that identified basal-like, apocrine and claudin-low molecular subtypes, or reflected various non-neoplastic cell populations, including immune cells, blood, adipocytes, stroma, angiogenesis and inflammation within the cancer. The expressions of these metagenes were correlated with survival and multivariate analysis was performed, including routine clinical and pathological variables.\nRESULTS: Seventy-three percent of TNBC displayed basal-like molecular subtype that correlated with high histological grade and younger age. Survival of basal-like TNBC was not different from non basal-like TNBC. High expression of immune cell metagenes was associated with good and high expression of inflammation and angiogenesis-related metagenes were associated with poor prognosis. A ratio of high B-cell and low IL-8 metagenes identified 32% of TNBC with good prognosis (hazard ratio (HR) 0.37, 95% CI 0.22 to 0.61; P &lt; 0.001) and was the only significant predictor in multivariate analysis including routine clinicopathological variables.\nCONCLUSIONS: We describe a ratio of high B-cell presence and low IL-8 activity as a powerful new prognostic marker for TNBC. Inhibition of the IL-8 pathway also represents an attractive novel therapeutic target for this disease.","DOI":"10.1186/bcr3035","ISSN":"1465-542X","note":"PMID: 21978456\nPMCID: PMC3262210","journalAbbreviation":"Breast Cancer Res.","language":"eng","author":[{"family":"Rody","given":"Achim"},{"family":"Karn","given":"Thomas"},{"family":"Liedtke","given":"Cornelia"},{"family":"Pusztai","given":"Lajos"},{"family":"Ruckhaeberle","given":"Eugen"},{"family":"Hanker","given":"Lars"},{"family":"Gaetje","given":"Regine"},{"family":"Solbach","given":"Christine"},{"family":"Ahr","given":"Andre"},{"family":"Metzler","given":"Dirk"},{"family":"Schmidt","given":"Marcus"},{"family":"Müller","given":"Volkmar"},{"family":"Holtrich","given":"Uwe"},{"family":"Kaufmann","given":"Manfred"}],"issued":{"date-parts":[["2011",10,6]]}}}],"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(16)</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GSE3494</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62.11±13.87</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195/54</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158/84</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34/213</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61/190</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yHxH1GZJ","properties":{"formattedCitation":"(17)","plainCitation":"(17)","noteIndex":0},"citationItems":[{"id":78,"uris":["http://zotero.org/users/local/N5R1corn/items/9FKPVSLY"],"uri":["http://zotero.org/users/local/N5R1corn/items/9FKPVSLY"],"itemData":{"id":78,"type":"article-journal","title":"An expression signature for p53 status in human breast cancer predicts mutation status, transcriptional effects, and patient survival","container-title":"Proceedings of the National Academy of Sciences of the United States of America","page":"13550-13555","volume":"102","issue":"38","source":"PubMed","abstract":"Perturbations of the p53 pathway are associated with more aggressive and therapeutically refractory tumors. However, molecular assessment of p53 status, by using sequence analysis and immunohistochemistry, are incomplete assessors of p53 functional effects. We posited that the transcriptional fingerprint is a more definitive downstream indicator of p53 function. Herein, we analyzed transcript profiles of 251 p53-sequenced primary breast tumors and identified a clinically embedded 32-gene expression signature that distinguishes p53-mutant and wild-type tumors of different histologies and outperforms sequence-based assessments of p53 in predicting prognosis and therapeutic response. Moreover, the p53 signature identified a subset of aggressive tumors absent of sequence mutations in p53 yet exhibiting expression characteristics consistent with p53 deficiency because of attenuated p53 transcript levels. Our results show the primary importance of p53 functional status in predicting clinical breast cancer behavior.","DOI":"10.1073/pnas.0506230102","ISSN":"0027-8424","note":"PMID: 16141321\nPMCID: PMC1197273","journalAbbreviation":"Proc. Natl. Acad. Sci. U.S.A.","language":"eng","author":[{"family":"Miller","given":"Lance D."},{"family":"Smeds","given":"Johanna"},{"family":"George","given":"Joshy"},{"family":"Vega","given":"Vinsensius B."},{"family":"Vergara","given":"Liza"},{"family":"Ploner","given":"Alexander"},{"family":"Pawitan","given":"Yudi"},{"family":"Hall","given":"Per"},{"family":"Klaar","given":"Sigrid"},{"family":"Liu","given":"Edison T."},{"family":"Bergh","given":"Jonas"}],"issued":{"date-parts":[["2005",9,20]]}}}],"schema":"https://github.com/citation-style-language/schema/raw/master/csl-citation.json"}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(17)</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GSE42568</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58.83±11.76</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51/53</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45/59</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34/67</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jnUbCkze","properties":{"formattedCitation":"(18)","plainCitation":"(18)","noteIndex":0},"citationItems":[{"id":80,"uris":["http://zotero.org/users/local/N5R1corn/items/4XJ332A3"],"uri":["http://zotero.org/users/local/N5R1corn/items/4XJ332A3"],"itemData":{"id":80,"type":"article-journal","title":"Correlating transcriptional networks to breast cancer survival: a large-scale coexpression analysis","container-title":"Carcinogenesis","page":"2300-2308","volume":"34","issue":"10","source":"PubMed","abstract":"Weighted gene coexpression network analysis (WGCNA) is a powerful 'guilt-by-association'-based method to extract coexpressed groups of genes from large heterogeneous messenger RNA expression data sets. We have utilized WGCNA to identify 11 coregulated gene clusters across 2342 breast cancer samples from 13 microarray-based gene expression studies. A number of these transcriptional modules were found to be correlated to clinicopathological variables (e.g. tumor grade), survival endpoints for breast cancer as a whole (disease-free survival, distant disease-free survival and overall survival) and also its molecular subtypes (luminal A, luminal B, HER2+ and basal-like). Examples of findings arising from this work include the identification of a cluster of proliferation-related genes that when upregulated correlated to increased tumor grade and were associated with poor survival in general. The prognostic potential of novel genes, for example, ubiquitin-conjugating enzyme E2S (UBE2S) within this group was confirmed in an independent data set. In addition, gene clusters were also associated with survival for breast cancer molecular subtypes including a cluster of genes that was found to correlate with prognosis exclusively for basal-like breast cancer. The upregulation of several single genes within this coexpression cluster, for example, the potassium channel, subfamily K, member 5 (KCNK5) was associated with poor outcome for the basal-like molecular subtype. We have developed an online database to allow user-friendly access to the coexpression patterns and the survival analysis outputs uncovered in this study (available at http://glados.ucd.ie/Coexpression/).","DOI":"10.1093/carcin/bgt208","ISSN":"1460-2180","note":"PMID: 23740839","title-short":"Correlating transcriptional networks to breast cancer survival","journalAbbreviation":"Carcinogenesis","language":"eng","author":[{"family":"Clarke","given":"Colin"},{"family":"Madden","given":"Stephen F."},{"family":"Doolan","given":"Padraig"},{"family":"Aherne","given":"Sinead T."},{"family":"Joyce","given":"Helena"},{"family":"O'Driscoll","given":"Lorraine"},{"family":"Gallagher","given":"William M."},{"family":"Hennessy","given":"Bryan T."},{"family":"Moriarty","given":"Michael"},{"family":"Crown","given":"John"},{"family":"Kennedy","given":"Susan"},{"family":"Clynes","given":"Martin"}],"issued":{"date-parts":[["2013",10]]}}}],"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(18)</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GSE45255</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54.84±12.02</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69/67</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94/45</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48/89</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60/72</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69/62</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NuayZ5l1","properties":{"formattedCitation":"(19)","plainCitation":"(19)","noteIndex":0},"citationItems":[{"id":82,"uris":["http://zotero.org/users/local/N5R1corn/items/KY73BGGF"],"uri":["http://zotero.org/users/local/N5R1corn/items/KY73BGGF"],"itemData":{"id":82,"type":"article-journal","title":"Interactions between immunity, proliferation and molecular subtype in breast cancer prognosis","container-title":"Genome Biology","page":"R34","volume":"14","issue":"4","source":"PubMed","abstract":"BACKGROUND: Gene expression signatures indicative of tumor proliferative capacity and tumor-immune cell interactions have emerged as principal biology-driven predictors of breast cancer outcomes. How these signatures relate to one another in biological and prognostic contexts remains to be clarified.\nRESULTS: To investigate the relationship between proliferation and immune gene signatures, we analyzed an integrated dataset of 1,954 clinically annotated breast tumor expression profiles randomized into training and test sets to allow two-way discovery and validation of gene-survival associations. Hierarchical clustering revealed a large cluster of distant metastasis-free survival-associated genes with known immunological functions that further partitioned into three distinct immune metagenes likely reflecting B cells and/or plasma cells; T cells and natural killer cells; and monocytes and/or dendritic cells. A proliferation metagene allowed stratification of cases into proliferation tertiles. The prognostic strength of these metagenes was largely restricted to tumors within the highest proliferation tertile, though intrinsic subtype-specific differences were observed in the intermediate and low proliferation tertiles. In highly proliferative tumors, high tertile immune metagene expression equated with markedly reduced risk of metastasis whereas tumors with low tertile expression of any one of the three immune metagenes were associated with poor outcome despite higher expression of the other two metagenes.\nCONCLUSIONS: These findings suggest that a productive interplay among multiple immune cell types at the tumor site promotes long-term anti-metastatic immunity in a proliferation-dependent manner. The emergence of a subset of effective immune responders among highly proliferative tumors has novel prognostic ramifications.","DOI":"10.1186/gb-2013-14-4-r34","ISSN":"1474-760X","note":"PMID: 23618380\nPMCID: PMC3798758","journalAbbreviation":"Genome Biol.","language":"eng","author":[{"family":"Nagalla","given":"Srikanth"},{"family":"Chou","given":"Jeff W."},{"family":"Willingham","given":"Mark C."},{"family":"Ruiz","given":"Jimmy"},{"family":"Vaughn","given":"James P."},{"family":"Dubey","given":"Purnima"},{"family":"Lash","given":"Timothy L."},{"family":"Hamilton-Dutoit","given":"Stephen J."},{"family":"Bergh","given":"Jonas"},{"family":"Sotiriou","given":"Christos"},{"family":"Black","given":"Michael A."},{"family":"Miller","given":"Lance D."}],"issued":{"date-parts":[["2013",4,29]]}}}],"schema":"https://github.com/citation-style-language/schema/raw/master/csl-citation.json"}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(19)</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GSE58812</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56.97±12.8</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107/0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107/0</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107/0</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Gp2zrp5V","properties":{"formattedCitation":"(20)","plainCitation":"(20)","noteIndex":0},"citationItems":[{"id":85,"uris":["http://zotero.org/users/local/N5R1corn/items/7MAV642U"],"uri":["http://zotero.org/users/local/N5R1corn/items/7MAV642U"],"itemData":{"id":85,"type":"article-journal","title":"Gene-expression molecular subtyping of triple-negative breast cancer tumours: importance of immune response","container-title":"Breast cancer research: BCR","page":"43","volume":"17","source":"PubMed","abstract":"INTRODUCTION: Triple-negative breast cancers need to be refined in order to identify therapeutic subgroups of patients.\nMETHODS: We conducted an unsupervised analysis of microarray gene-expression profiles of 107 triple-negative breast cancer patients and undertook robust functional annotation of the molecular entities found by means of numerous approaches including immunohistochemistry and gene-expression signatures. A triple-negative external cohort (n=87) was used for validation.\nRESULTS: Fuzzy clustering separated triple-negative tumours into three clusters: C1 (22.4%), C2 (44.9%) and C3 (32.7%). C1 patients were older (mean=64.6 years) than C2 (mean=56.8 years; P=0.03) and C3 patients (mean=51.9 years; P=0.0004). Histological grade and Nottingham prognostic index were higher in C2 and C3 than in C1 (P&lt;0.0001 for both comparisons). Significant event-free survival (P=0.03) was found according to cluster membership: patients belonging to C3 had a better outcome than patients in C1 (P=0.01) and C2 (P=0.02). Event-free survival analysis results were confirmed when our cohort was pooled with the external cohort (n=194; P=0.01). Functional annotation showed that 22% of triple-negative patients were not basal-like (C1). C1 was enriched in luminal subtypes and positive androgen receptor (luminal androgen receptor). C2 could be considered as an almost pure basal-like cluster. C3, enriched in basal-like subtypes but to a lesser extent, included 26% of claudin-low subtypes. Dissection of immune response showed that high immune response and low M2-like macrophages were a hallmark of C3, and that these patients had a better event-free survival than C2 patients, characterized by low immune response and high M2-like macrophages: P=0.02 for our cohort, and P=0.03 for pooled cohorts.\nCONCLUSIONS: We identified three subtypes of triple-negative patients: luminal androgen receptor (22%), basal-like with low immune response and high M2-like macrophages (45%), and basal-enriched with high immune response and low M2-like macrophages (33%). We noted out that macrophages and other immune effectors offer a variety of therapeutic targets in breast cancer, and particularly in triple-negative basal-like tumours. Furthermore, we showed that CK5 antibody was better suited than CK5/6 antibody to subtype triple-negative patients.","DOI":"10.1186/s13058-015-0550-y","ISSN":"1465-542X","note":"PMID: 25887482\nPMCID: PMC4389408","title-short":"Gene-expression molecular subtyping of triple-negative breast cancer tumours","journalAbbreviation":"Breast Cancer Res.","language":"eng","author":[{"family":"Jézéquel","given":"Pascal"},{"family":"Loussouarn","given":"Delphine"},{"family":"Guérin-Charbonnel","given":"Catherine"},{"family":"Campion","given":"Loïc"},{"family":"Vanier","given":"Antoine"},{"family":"Gouraud","given":"Wilfried"},{"family":"Lasla","given":"Hamza"},{"family":"Guette","given":"Catherine"},{"family":"Valo","given":"Isabelle"},{"family":"Verrièle","given":"Véronique"},{"family":"Campone","given":"Mario"}],"issued":{"date-parts":[["2015",3,20]]}}}],"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(20)</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GSE65194</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54.15±12.49</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58/70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71/59</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85/44</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76/54</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3GPwjIh6","properties":{"formattedCitation":"(21)","plainCitation":"(21)","noteIndex":0},"citationItems":[{"id":87,"uris":["http://zotero.org/users/local/N5R1corn/items/8MZTM2EH"],"uri":["http://zotero.org/users/local/N5R1corn/items/8MZTM2EH"],"itemData":{"id":87,"type":"article-journal","title":"Polo-like kinase 1: a potential therapeutic option in combination with conventional chemotherapy for the management of patients with triple-negative breast cancer","container-title":"Cancer Research","page":"813-823","volume":"73","issue":"2","source":"PubMed","abstract":"Breast cancers are composed of molecularly distinct subtypes with different clinical outcomes and responses to therapy. To discover potential therapeutic targets for the poor prognosis-associated triple-negative breast cancer (TNBC), gene expression profiling was carried out on a cohort of 130 breast cancer samples. Polo-like kinase 1 (PLK1) was found to be significantly overexpressed in TNBC compared with the other breast cancer subtypes. High PLK1 expression was confirmed by reverse phase protein and tissue microarrays. In triple-negative cell lines, RNAi-mediated PLK1 depletion or inhibition of PLK1 activity with a small molecule (BI-2536) induced an increase in phosphorylated H2AX, G(2)-M arrest, and apoptosis. A soft-agar colony assay showed that PLK1 silencing impaired clonogenic potential of TNBC cell lines. When cells were grown in extracellular matrix gels (Matrigel), and exposed to BI-2536, apoptosis was observed specifically in TNBC cancerous cells, and not in a normal cell line. When administrated as a single agent, the PLK1 inhibitor significantly impaired tumor growth in vivo in two xenografts models established from biopsies of patients with TNBC. Most importantly, the administration of BI-2536, in combination with doxorubicin + cyclophosphamide chemotherapy, led to a faster complete response compared with the chemotherapy treatment alone and prevented relapse, which is the major risk associated with TNBC. Altogether, our observations suggest PLK1 inhibition as an attractive therapeutic approach, in association with conventional chemotherapy, for the management of patients with TNBC.","DOI":"10.1158/0008-5472.CAN-12-2633","ISSN":"1538-7445","note":"PMID: 23144294","title-short":"Polo-like kinase 1","journalAbbreviation":"Cancer Res.","language":"eng","author":[{"family":"Maire","given":"Virginie"},{"family":"Némati","given":"Fariba"},{"family":"Richardson","given":"Marion"},{"family":"Vincent-Salomon","given":"Anne"},{"family":"Tesson","given":"Bruno"},{"family":"Rigaill","given":"Guillem"},{"family":"Gravier","given":"Eléonore"},{"family":"Marty-Prouvost","given":"Bérengère"},{"family":"De Koning","given":"Leanne"},{"family":"Lang","given":"Guillaume"},{"family":"Gentien","given":"David"},{"family":"Dumont","given":"Aurélie"},{"family":"Barillot","given":"Emmanuel"},{"family":"Marangoni","given":"Elisabetta"},{"family":"Decaudin","given":"Didier"},{"family":"Roman-Roman","given":"Sergio"},{"family":"Pierré","given":"Alain"},{"family":"Cruzalegui","given":"Francisco"},{"family":"Depil","given":"Stéphane"},{"family":"Tucker","given":"Gordon C."},{"family":"Dubois","given":"Thierry"}],"issued":{"date-parts":[["2013",1,15]]}}}],"schema":"https://github.com/citation-style-language/schema/raw/master/csl-citation.json"}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(21)</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GSE6532</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61.75±10</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110/17</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83/80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7/158</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21/64</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YOO6OlrA","properties":{"formattedCitation":"(22)","plainCitation":"(22)","noteIndex":0},"citationItems":[{"id":89,"uris":["http://zotero.org/users/local/N5R1corn/items/CSNVZUI4"],"uri":["http://zotero.org/users/local/N5R1corn/items/CSNVZUI4"],"itemData":{"id":89,"type":"article-journal","title":"Definition of clinically distinct molecular subtypes in estrogen receptor-positive breast carcinomas through genomic grade","container-title":"Journal of Clinical Oncology: Official Journal of the American Society of Clinical Oncology","page":"1239-1246","volume":"25","issue":"10","source":"PubMed","abstract":"PURPOSE: A number of microarray studies have reported distinct molecular profiles of breast cancers (BC), such as basal-like, ErbB2-like, and two to three luminal-like subtypes. These were associated with different clinical outcomes. However, although the basal and the ErbB2 subtypes are repeatedly recognized, identification of estrogen receptor (ER) -positive subtypes has been inconsistent. Therefore, refinement of their molecular definition is needed.\nMATERIALS AND METHODS: We have previously reported a gene expression grade index (GGI), which defines histologic grade based on gene expression profiles. Using this algorithm, we assigned ER-positive BC to either high-or low-genomic grade subgroups and compared these with previously reported ER-positive molecular classifications. As further validation, we classified 666 ER-positive samples into subtypes and assessed their clinical outcome.\nRESULTS: Two ER-positive molecular subgroups (high and low genomic grade) could be defined using the GGI. Despite tracking a single biologic pathway, these were highly comparable to the previously described luminal A and B classification and significantly correlated to the risk groups produced using the 21-gene recurrence score. The two subtypes were associated with statistically distinct clinical outcome in both systemically untreated and tamoxifen-treated populations.\nCONCLUSION: The use of genomic grade can identify two clinically distinct ER-positive molecular subtypes in a simple and highly reproducible manner across multiple data sets. This study emphasizes the important role of proliferation-related genes in predicting prognosis in ER-positive BC.","DOI":"10.1200/JCO.2006.07.1522","ISSN":"1527-7755","note":"PMID: 17401012","journalAbbreviation":"J. Clin. Oncol.","language":"eng","author":[{"family":"Loi","given":"Sherene"},{"family":"Haibe-Kains","given":"Benjamin"},{"family":"Desmedt","given":"Christine"},{"family":"Lallemand","given":"Françoise"},{"family":"Tutt","given":"Andrew M."},{"family":"Gillet","given":"Cheryl"},{"family":"Ellis","given":"Paul"},{"family":"Harris","given":"Adrian"},{"family":"Bergh","given":"Jonas"},{"family":"Foekens","given":"John A."},{"family":"Klijn","given":"Jan G. M."},{"family":"Larsimont","given":"Denis"},{"family":"Buyse","given":"Marc"},{"family":"Bontempi","given":"Gianluca"},{"family":"Delorenzi","given":"Mauro"},{"family":"Piccart","given":"Martine J."},{"family":"Sotiriou","given":"Christos"}],"issued":{"date-parts":[["2007",4,1]]}}}],"schema":"https://github.com/citation-style-language/schema/raw/master/csl-citation.json"}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(22)</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GSE71258</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48/51</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61/38</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77/22</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ia5OPENB","properties":{"formattedCitation":"(23)","plainCitation":"(23)","noteIndex":0},"citationItems":[{"id":91,"uris":["http://zotero.org/users/local/N5R1corn/items/UXD3N8H5"],"uri":["http://zotero.org/users/local/N5R1corn/items/UXD3N8H5"],"itemData":{"id":91,"type":"article-journal","title":"CXCR4 Protein Epitope Mimetic Antagonist POL5551 Disrupts Metastasis and Enhances Chemotherapy Effect in Triple-Negative Breast Cancer","container-title":"Molecular Cancer Therapeutics","page":"2473-2485","volume":"14","issue":"11","source":"PubMed","abstract":"The SDF-1 receptor CXCR4 has been associated with early metastasis and poorer prognosis in breast cancers, especially the most aggressive triple-negative subtype. In line with previous reports, we found that tumoral CXCR4 expression in patients with locally advanced breast cancer was associated with increased metastases and rapid tumor progression. Moreover, high CXCR4 expression identified a group of bone marrow-disseminated tumor cells (DTC)-negative patients at high risk for metastasis and death. The protein epitope mimetic (PEM) POL5551, a novel CXCR4 antagonist, inhibited binding of SDF-1 to CXCR4, had no direct effects on tumor cell viability, but reduced migration of breast cancer cells in vitro. In two orthotopic models of triple-negative breast cancer, POL5551 had little inhibitory effect on primary tumor growth, but significantly reduced distant metastasis. When combined with eribulin, a chemotherapeutic microtubule inhibitor, POL5551 additively reduced metastasis and prolonged survival in mice after resection of the primary tumor compared with single-agent eribulin. Hypothesizing that POL5551 may mobilize tumor cells from their microenvironment and sensitize them to chemotherapy, we used a \"chemotherapy framing\" dosing strategy. When administered shortly before and after eribulin treatment, three doses of POL5551 with eribulin reduced bone and liver tumor burden more effectively than chemotherapy alone. These data suggest that sequenced administration of CXCR4 antagonists with cytotoxic chemotherapy synergize to reduce distant metastases.","DOI":"10.1158/1535-7163.MCT-15-0252","ISSN":"1538-8514","note":"PMID: 26269605\nPMCID: PMC4784694","journalAbbreviation":"Mol. Cancer Ther.","language":"eng","author":[{"family":"Xiang","given":"Jingyu"},{"family":"Hurchla","given":"Michelle A."},{"family":"Fontana","given":"Francesca"},{"family":"Su","given":"Xinming"},{"family":"Amend","given":"Sarah R."},{"family":"Esser","given":"Alison K."},{"family":"Douglas","given":"Garry J."},{"family":"Mudalagiriyappa","given":"Chidananda"},{"family":"Luker","given":"Kathryn E."},{"family":"Pluard","given":"Timothy"},{"family":"Ademuyiwa","given":"Foluso O."},{"family":"Romagnoli","given":"Barbara"},{"family":"Tuffin","given":"Gérald"},{"family":"Chevalier","given":"Eric"},{"family":"Luker","given":"Gary D."},{"family":"Bauer","given":"Michael"},{"family":"Zimmermann","given":"Johann"},{"family":"Aft","given":"Rebecca L."},{"family":"Dembowsky","given":"Klaus"},{"family":"Weilbaecher","given":"Katherine N."}],"issued":{"date-parts":[["2015",11]]}}}],"schema":"https://github.com/citation-style-language/schema/raw/master/csl-citation.json"}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(23)</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GSE7378</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56.19±18.87</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54/0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0/54</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RFS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QiZFsAlr","properties":{"formattedCitation":"(24)","plainCitation":"(24)","noteIndex":0},"citationItems":[{"id":93,"uris":["http://zotero.org/users/local/N5R1corn/items/PZLALPTA"],"uri":["http://zotero.org/users/local/N5R1corn/items/PZLALPTA"],"itemData":{"id":93,"type":"article-journal","title":"Enhanced NF kappa B and AP-1 transcriptional activity associated with antiestrogen resistant breast cancer","container-title":"BMC cancer","page":"59","volume":"7","source":"PubMed","abstract":"BACKGROUND: Signaling pathways that converge on two different transcription factor complexes, NFkappaB and AP-1, have been identified in estrogen receptor (ER)-positive breast cancers resistant to the antiestrogen, tamoxifen.\nMETHODS: Two cell line models of tamoxifen-resistant ER-positive breast cancer, MCF7/HER2 and BT474, showing increased AP-1 and NFkappaB DNA-binding and transcriptional activities, were studied to compare tamoxifen effects on NFkappaB and AP-1 regulated reporter genes relative to tamoxifen-sensitive MCF7 cells. The model cell lines were treated with the IKK inhibitor parthenolide (PA) or the proteasome inhibitor bortezomib (PS341), alone and in combination with tamoxifen. Expression microarray data available from 54 UCSF node-negative ER-positive breast cancer cases with known clinical outcome were used to search for potential genes signifying upregulated NFkappaB and AP-1 transcriptional activity in association with tamoxifen resistance. The association of these genes with patient outcome was further evaluated using node-negative ER-positive breast cancer cases identified from three other published data sets (Rotterdam, n = 209; Amsterdam, n = 68; Basel, n = 108), each having different patient age and adjuvant tamoxifen treatment characteristics.\nRESULTS: Doses of parthenolide and bortezomib capable of sensitizing the two endocrine resistant breast cancer models to tamoxifen were capable of suppressing NFkappaB and AP-1 regulated gene expression in combination with tamoxifen and also increased ER recruitment of the transcriptional co-repressor, NCoR. Transcript profiles from the UCSF breast cancer cases revealed three NFkappaB and AP-1 upregulated genes--cyclin D1, uPA and VEGF--capable of dichotomizing node-negative ER-positive cases into early and late relapsing subsets despite adjuvant tamoxfien therapy and most prognostic for younger age cases. Across the four independent sets of node-negative ER-positive breast cancer cases (UCSF, Rotterdam, Amsterdam, Basel), high expression of all three NFkappaB and AP-1 upregulated genes was associated with earliest metastatic relapse.\nCONCLUSION: Altogether, these findings implicate increased NFkappaB and AP-1 transcriptional responses with tamoxifen resistant breast cancer and early metastatic relapse, especially in younger patients. These findings also suggest that agents capable of preventing NFkappaB and AP-1 gene activation may prove useful in restoring the endocrine responsiveness of such high-risk ER-positive breast cancers.","DOI":"10.1186/1471-2407-7-59","ISSN":"1471-2407","note":"PMID: 17407600\nPMCID: PMC1852565","journalAbbreviation":"BMC Cancer","language":"eng","author":[{"family":"Zhou","given":"Yamei"},{"family":"Yau","given":"Christina"},{"family":"Gray","given":"Joe W."},{"family":"Chew","given":"Karen"},{"family":"Dairkee","given":"Shanaz H."},{"family":"Moore","given":"Dan H."},{"family":"Eppenberger","given":"Urs"},{"family":"Eppenberger-Castori","given":"Serenella"},{"family":"Benz","given":"Christopher C."}],"issued":{"date-parts":[["2007",4,3]]}}}],"schema":"https://github.com/citation-style-language/schema/raw/master/csl-citation.json"}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(24)</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GSE7390</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46.2±7.14</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97/78</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177/0</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61/116</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DfiMfl9M","properties":{"formattedCitation":"(25)","plainCitation":"(25)","noteIndex":0},"citationItems":[{"id":95,"uris":["http://zotero.org/users/local/N5R1corn/items/V9KWVIWB"],"uri":["http://zotero.org/users/local/N5R1corn/items/V9KWVIWB"],"itemData":{"id":95,"type":"article-journal","title":"Strong time dependence of the 76-gene prognostic signature for node-negative breast cancer patients in the TRANSBIG multicenter independent validation series","container-title":"Clinical Cancer Research: An Official Journal of the American Association for Cancer Research","page":"3207-3214","volume":"13","issue":"11","source":"PubMed","abstract":"PURPOSE: Recently, a 76-gene prognostic signature able to predict distant metastases in lymph node-negative (N(-)) breast cancer patients was reported. The aims of this study conducted by TRANSBIG were to independently validate these results and to compare the outcome with clinical risk assessment.\nEXPERIMENTAL DESIGN: Gene expression profiling of frozen samples from 198 N(-) systemically untreated patients was done at the Bordet Institute, blinded to clinical data and independent of Veridex. Genomic risk was defined by Veridex, blinded to clinical data. Survival analyses, done by an independent statistician, were done with the genomic risk and adjusted for the clinical risk, defined by Adjuvant! Online.\nRESULTS: The actual 5- and 10-year time to distant metastasis were 98% (88-100%) and 94% (83-98%), respectively, for the good profile group and 76% (68-82%) and 73% (65-79%), respectively, for the poor profile group. The actual 5- and 10-year overall survival were 98% (88-100%) and 87% (73-94%), respectively, for the good profile group and 84% (77-89%) and 72% (63-78%), respectively, for the poor profile group. We observed a strong time dependence of this signature, leading to an adjusted hazard ratio of 13.58 (1.85-99.63) and 8.20 (1.10-60.90) at 5 years and 5.11 (1.57-16.67) and 2.55 (1.07-6.10) at 10 years for time to distant metastasis and overall survival, respectively.\nCONCLUSION: This independent validation confirmed the performance of the 76-gene signature and adds to the growing evidence that gene expression signatures are of clinical relevance, especially for identifying patients at high risk of early distant metastases.","DOI":"10.1158/1078-0432.CCR-06-2765","ISSN":"1078-0432","note":"PMID: 17545524","journalAbbreviation":"Clin. Cancer Res.","language":"eng","author":[{"family":"Desmedt","given":"Christine"},{"family":"Piette","given":"Fanny"},{"family":"Loi","given":"Sherene"},{"family":"Wang","given":"Yixin"},{"family":"Lallemand","given":"Françoise"},{"family":"Haibe-Kains","given":"Benjamin"},{"family":"Viale","given":"Giuseppe"},{"family":"Delorenzi","given":"Mauro"},{"family":"Zhang","given":"Yi"},{"family":"Assignies","given":"Mahasti Saghatchian","non-dropping-particle":"d'"},{"family":"Bergh","given":"Jonas"},{"family":"Lidereau","given":"Rosette"},{"family":"Ellis","given":"Paul"},{"family":"Harris","given":"Adrian L."},{"family":"Klijn","given":"Jan G. M."},{"family":"Foekens","given":"John A."},{"family":"Cardoso","given":"Fatima"},{"family":"Piccart","given":"Martine J."},{"family":"Buyse","given":"Marc"},{"family":"Sotiriou","given":"Christos"},{"literal":"TRANSBIG Consortium"}],"issued":{"date-parts":[["2007",6,1]]}}}],"schema":"https://github.com/citation-style-language/schema/raw/master/csl-citation.json"}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(25)</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GSE88770</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109/7</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66/50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11/106</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31/79</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108/7</w:t>
            </w:r>
          </w:p>
        </w:tc>
        <w:tc>
          <w:tcPr>
            <w:tcW w:w="69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uOXfzpsM","properties":{"formattedCitation":"(26)","plainCitation":"(26)","noteIndex":0},"citationItems":[{"id":97,"uris":["http://zotero.org/users/local/N5R1corn/items/KJFP6CC7"],"uri":["http://zotero.org/users/local/N5R1corn/items/KJFP6CC7"],"itemData":{"id":97,"type":"article-journal","title":"Genomic grade adds prognostic value in invasive lobular carcinoma","container-title":"Annals of Oncology: Official Journal of the European Society for Medical Oncology","page":"377-384","volume":"24","issue":"2","source":"PubMed","abstract":"BACKGROUND: The prognostic value of histologic grade (HG) in invasive lobular carcinoma (ILC) remains uncertain, and most ILC tumors are graded as HG2. Genomic grade (GG) is a 97-gene signature that improves the prognostic value of HG. This study evaluates whether GG may overcome the limitations of HG in ILC.\nMETHODS: Gene expression data were generated from frozen tumor samples, and GG calculated according to the expression of 97 genes. The prognostic value of GG was assessed in a stratified Cox regression model for invasive disease-free survival (IDFS) and overall survival (OS).\nRESULTS: A total of 166 patients were classified by GG. HG classified 33 (20%) tumors as HG1, 120 (73%) as HG2 and 12 (7%) as HG3. GG classified 106 (64%) tumors as GG low (GG1), 29 (17%) as GG high (GG3) and 31 (19%) as equivocal (cases not classified as GG1 or GG3). The median follow-up time was 6.5 years. In multivariate analyses, GG was associated with IDFS [HR(GG3 vs GG1) 5.6 (2.1-15.3); P &lt; 0.001] and OS [HR(GG3 vs GG1) 7.2, 95% CI (1.6-32.2); P = 0.01].\nCONCLUSIONS: GG outperformed HG in ILC and added prognostic value to classic clinicopathologic variables, including nodal status.","DOI":"10.1093/annonc/mds280","ISSN":"1569-8041","note":"PMID: 23028037","journalAbbreviation":"Ann. Oncol.","language":"eng","author":[{"family":"Metzger-Filho","given":"O."},{"family":"Michiels","given":"S."},{"family":"Bertucci","given":"F."},{"family":"Catteau","given":"A."},{"family":"Salgado","given":"R."},{"family":"Galant","given":"C."},{"family":"Fumagalli","given":"D."},{"family":"Singhal","given":"S. K."},{"family":"Desmedt","given":"C."},{"family":"Ignatiadis","given":"M."},{"family":"Haussy","given":"S."},{"family":"Finetti","given":"P."},{"family":"Birnbaum","given":"D."},{"family":"Saini","given":"K. S."},{"family":"Berlière","given":"M."},{"family":"Veys","given":"I."},{"family":"Azambuja","given":"E.","non-dropping-particle":"de"},{"family":"Bozovic","given":"I."},{"family":"Peyro-Saint-Paul","given":"H."},{"family":"Larsimont","given":"D."},{"family":"Piccart","given":"M."},{"family":"Sotiriou","given":"C."}],"issued":{"date-parts":[["2013",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(26)</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GSE9195</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64.23±9.24</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34/24</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41/36</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0/77</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18/59</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69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XLhKEsdC","properties":{"formattedCitation":"(27)","plainCitation":"(27)","noteIndex":0},"citationItems":[{"id":99,"uris":["http://zotero.org/users/local/N5R1corn/items/WDIXTZQ5"],"uri":["http://zotero.org/users/local/N5R1corn/items/WDIXTZQ5"],"itemData":{"id":99,"type":"article-journal","title":"Predicting prognosis using molecular profiling in estrogen receptor-positive breast cancer treated with tamoxifen","container-title":"BMC genomics","page":"239","volume":"9","source":"PubMed","abstract":"BACKGROUND: Estrogen receptor positive (ER+) breast cancers (BC) are heterogeneous with regard to their clinical behavior and response to therapies. The ER is currently the best predictor of response to the anti-estrogen agent tamoxifen, yet up to 30-40% of ER+BC will relapse despite tamoxifen treatment. New prognostic biomarkers and further biological understanding of tamoxifen resistance are required. We used gene expression profiling to develop an outcome-based predictor using a training set of 255 ER+ BC samples from women treated with adjuvant tamoxifen monotherapy. We used clusters of highly correlated genes to develop our predictor to facilitate both signature stability and biological interpretation. Independent validation was performed using 362 tamoxifen-treated ER+ BC samples obtained from multiple institutions and treated with tamoxifen only in the adjuvant and metastatic settings.\nRESULTS: We developed a gene classifier consisting of 181 genes belonging to 13 biological clusters. In the independent set of adjuvantly-treated samples, it was able to define two distinct prognostic groups (HR 2.01 95%CI: 1.29-3.13; p = 0.002). Six of the 13 gene clusters represented pathways involved in cell cycle and proliferation. In 112 metastatic breast cancer patients treated with tamoxifen, one of the classifier components suggesting a cellular inflammatory mechanism was significantly predictive of response.\nCONCLUSION: We have developed a gene classifier that can predict clinical outcome in tamoxifen-treated ER+ BC patients. Whilst our study emphasizes the important role of proliferation genes in prognosis, our approach proposes other genes and pathways that may elucidate further mechanisms that influence clinical outcome and prediction of response to tamoxifen.","DOI":"10.1186/1471-2164-9-239","ISSN":"1471-2164","note":"PMID: 18498629\nPMCID: PMC2423197","journalAbbreviation":"BMC Genomics","language":"eng","author":[{"family":"Loi","given":"Sherene"},{"family":"Haibe-Kains","given":"Benjamin"},{"family":"Desmedt","given":"Christine"},{"family":"Wirapati","given":"Pratyaksha"},{"family":"Lallemand","given":"Françoise"},{"family":"Tutt","given":"Andrew M."},{"family":"Gillet","given":"Cheryl"},{"family":"Ellis","given":"Paul"},{"family":"Ryder","given":"Kenneth"},{"family":"Reid","given":"James F."},{"family":"Daidone","given":"Maria G."},{"family":"Pierotti","given":"Marco A."},{"family":"Berns","given":"Els Mjj"},{"family":"Jansen","given":"Maurice Phm"},{"family":"Foekens","given":"John A."},{"family":"Delorenzi","given":"Mauro"},{"family":"Bontempi","given":"Gianluca"},{"family":"Piccart","given":"Martine J."},{"family":"Sotiriou","given":"Christos"}],"issued":{"date-parts":[["2008",5,22]]}}}],"schema":"https://github.com/citation-style-language/schema/raw/master/csl-citation.json"}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(27)</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GSE25055</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50.17±10.39</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136/151</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87/223</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134/176</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162/142</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291/4</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DC5562"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QvrP9f4n","properties":{"formattedCitation":"(28)","plainCitation":"(28)","noteIndex":0},"citationItems":[{"id":101,"uris":["http://zotero.org/users/local/N5R1corn/items/E8GSMLZ8"],"uri":["http://zotero.org/users/local/N5R1corn/items/E8GSMLZ8"],"itemData":{"id":101,"type":"article-journal","title":"A genomic predictor of response and survival following taxane-anthracycline chemotherapy for invasive breast cancer","container-title":"JAMA","page":"1873-1881","volume":"305","issue":"18","source":"PubMed","abstract":"CONTEXT: Prediction of high probability of survival from standard cancer treatments is fundamental for individualized cancer treatment strategies.\nOBJECTIVE: To develop a predictor of response and survival from chemotherapy for newly diagnosed invasive breast cancer.\nDESIGN, SETTING, AND PATIENTS: Prospective multicenter study conducted from June 2000 to March 2010 at the M. D. Anderson Cancer Center to develop and test genomic predictors for neoadjuvant chemotherapy. Patients were those with newly diagnosed ERBB2 (HER2 or HER2/neu)-negative breast cancer treated with chemotherapy containing sequential taxane and anthracycline-based regimens (then endocrine therapy if estrogen receptor [ER]-positive). Different predictive signatures for resistance and response to preoperative (neoadjuvant) chemotherapy (stratified according to ER status) were developed from gene expression microarrays of newly diagnosed breast cancer (310 patients). Breast cancer treatment sensitivity was then predicted using the combination of signatures for (1) sensitivity to endocrine therapy, (2) chemoresistance, and (3) chemosensitivity, with independent validation (198 patients) and comparison with other reported genomic predictors of chemotherapy response.\nMAIN OUTCOME MEASURES: Distant relapse-free survival (DRFS) if predicted treatment sensitive and absolute risk reduction ([ARR], difference in DRFS between 2 predicted groups) at median follow-up (3 years).\nRESULTS: Patients in the independent validation cohort (99% clinical stage II-III) who were predicted to be treatment sensitive (28%) had 56% (95% CI, 31%-78%) probability of excellent pathologic response and DRFS of 92% (95% CI, 85%-100%), with an ARR of 18% (95% CI, 6%-28%). Survival was predicted in ER-positive (30% predicted sensitive; DRFS, 97% [95% CI, 91%-100%]; ARR, 11% [95% CI, 0.1%-21%]) and ER-negative (26% predicted sensitive; DRFS, 83% [95% CI, 68%-100%]; ARR, 26% [95% CI, 4%-48%]) subsets and was significant in multivariate analysis. Other genomic predictors showed paradoxically worse survival for patients predicted to be responsive to chemotherapy.\nCONCLUSION: A genomic predictor combining ER status, predicted chemoresistance, predicted chemosensitivity, and predicted endocrine sensitivity identified patients with high probability of survival following taxane and anthracycline chemotherapy.","DOI":"10.1001/jama.2011.593","ISSN":"1538-3598","note":"PMID: 21558518\nPMCID: PMC5638042","journalAbbreviation":"JAMA","language":"eng","author":[{"family":"Hatzis","given":"Christos"},{"family":"Pusztai","given":"Lajos"},{"family":"Valero","given":"Vicente"},{"family":"Booser","given":"Daniel J."},{"family":"Esserman","given":"Laura"},{"family":"Lluch","given":"Ana"},{"family":"Vidaurre","given":"Tatiana"},{"family":"Holmes","given":"Frankie"},{"family":"Souchon","given":"Eduardo"},{"family":"Wang","given":"Hongkun"},{"family":"Martin","given":"Miguel"},{"family":"Cotrina","given":"José"},{"family":"Gomez","given":"Henry"},{"family":"Hubbard","given":"Rebekah"},{"family":"Chacón","given":"J. Ignacio"},{"family":"Ferrer-Lozano","given":"Jaime"},{"family":"Dyer","given":"Richard"},{"family":"Buxton","given":"Meredith"},{"family":"Gong","given":"Yun"},{"family":"Wu","given":"Yun"},{"family":"Ibrahim","given":"Nuhad"},{"family":"Andreopoulou","given":"Eleni"},{"family":"Ueno","given":"Naoto T."},{"family":"Hunt","given":"Kelly"},{"family":"Yang","given":"Wei"},{"family":"Nazario","given":"Arlene"},{"family":"DeMichele","given":"Angela"},{"family":"O'Shaughnessy","given":"Joyce"},{"family":"Hortobagyi","given":"Gabriel N."},{"family":"Symmans","given":"W. Fraser"}],"issued":{"date-parts":[["2011",5,11]]}}}],"schema":"https://github.com/citation-style-language/schema/raw/master/csl-citation.json"}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(28)</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GSE25065</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49.24±10.57</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76/108</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70/128</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74/123</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96/101</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194/2</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DC5562"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DEjzfMcy","properties":{"formattedCitation":"(28)","plainCitation":"(28)","noteIndex":0},"citationItems":[{"id":101,"uris":["http://zotero.org/users/local/N5R1corn/items/E8GSMLZ8"],"uri":["http://zotero.org/users/local/N5R1corn/items/E8GSMLZ8"],"itemData":{"id":101,"type":"article-journal","title":"A genomic predictor of response and survival following taxane-anthracycline chemotherapy for invasive breast cancer","container-title":"JAMA","page":"1873-1881","volume":"305","issue":"18","source":"PubMed","abstract":"CONTEXT: Prediction of high probability of survival from standard cancer treatments is fundamental for individualized cancer treatment strategies.\nOBJECTIVE: To develop a predictor of response and survival from chemotherapy for newly diagnosed invasive breast cancer.\nDESIGN, SETTING, AND PATIENTS: Prospective multicenter study conducted from June 2000 to March 2010 at the M. D. Anderson Cancer Center to develop and test genomic predictors for neoadjuvant chemotherapy. Patients were those with newly diagnosed ERBB2 (HER2 or HER2/neu)-negative breast cancer treated with chemotherapy containing sequential taxane and anthracycline-based regimens (then endocrine therapy if estrogen receptor [ER]-positive). Different predictive signatures for resistance and response to preoperative (neoadjuvant) chemotherapy (stratified according to ER status) were developed from gene expression microarrays of newly diagnosed breast cancer (310 patients). Breast cancer treatment sensitivity was then predicted using the combination of signatures for (1) sensitivity to endocrine therapy, (2) chemoresistance, and (3) chemosensitivity, with independent validation (198 patients) and comparison with other reported genomic predictors of chemotherapy response.\nMAIN OUTCOME MEASURES: Distant relapse-free survival (DRFS) if predicted treatment sensitive and absolute risk reduction ([ARR], difference in DRFS between 2 predicted groups) at median follow-up (3 years).\nRESULTS: Patients in the independent validation cohort (99% clinical stage II-III) who were predicted to be treatment sensitive (28%) had 56% (95% CI, 31%-78%) probability of excellent pathologic response and DRFS of 92% (95% CI, 85%-100%), with an ARR of 18% (95% CI, 6%-28%). Survival was predicted in ER-positive (30% predicted sensitive; DRFS, 97% [95% CI, 91%-100%]; ARR, 11% [95% CI, 0.1%-21%]) and ER-negative (26% predicted sensitive; DRFS, 83% [95% CI, 68%-100%]; ARR, 26% [95% CI, 4%-48%]) subsets and was significant in multivariate analysis. Other genomic predictors showed paradoxically worse survival for patients predicted to be responsive to chemotherapy.\nCONCLUSION: A genomic predictor combining ER status, predicted chemoresistance, predicted chemosensitivity, and predicted endocrine sensitivity identified patients with high probability of survival following taxane and anthracycline chemotherapy.","DOI":"10.1001/jama.2011.593","ISSN":"1538-3598","note":"PMID: 21558518\nPMCID: PMC5638042","journalAbbreviation":"JAMA","language":"eng","author":[{"family":"Hatzis","given":"Christos"},{"family":"Pusztai","given":"Lajos"},{"family":"Valero","given":"Vicente"},{"family":"Booser","given":"Daniel J."},{"family":"Esserman","given":"Laura"},{"family":"Lluch","given":"Ana"},{"family":"Vidaurre","given":"Tatiana"},{"family":"Holmes","given":"Frankie"},{"family":"Souchon","given":"Eduardo"},{"family":"Wang","given":"Hongkun"},{"family":"Martin","given":"Miguel"},{"family":"Cotrina","given":"José"},{"family":"Gomez","given":"Henry"},{"family":"Hubbard","given":"Rebekah"},{"family":"Chacón","given":"J. Ignacio"},{"family":"Ferrer-Lozano","given":"Jaime"},{"family":"Dyer","given":"Richard"},{"family":"Buxton","given":"Meredith"},{"family":"Gong","given":"Yun"},{"family":"Wu","given":"Yun"},{"family":"Ibrahim","given":"Nuhad"},{"family":"Andreopoulou","given":"Eleni"},{"family":"Ueno","given":"Naoto T."},{"family":"Hunt","given":"Kelly"},{"family":"Yang","given":"Wei"},{"family":"Nazario","given":"Arlene"},{"family":"DeMichele","given":"Angela"},{"family":"O'Shaughnessy","given":"Joyce"},{"family":"Hortobagyi","given":"Gabriel N."},{"family":"Symmans","given":"W. Fraser"}],"issued":{"date-parts":[["2011",5,11]]}}}],"schema":"https://github.com/citation-style-language/schema/raw/master/csl-citation.json"}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(28)</w:t>
            </w:r>
            <w:r>
              <w:rPr>
                <w:rFonts w:ascii="Times New Roman" w:hAnsi="Times New Roman" w:cs="Times New Roman"/>
                <w:color w:val="000000"/>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GSE16446</w:t>
            </w:r>
          </w:p>
        </w:tc>
        <w:tc>
          <w:tcPr>
            <w:tcW w:w="638"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545"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22/92</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55/65</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120/0</w:t>
            </w:r>
          </w:p>
        </w:tc>
        <w:tc>
          <w:tcPr>
            <w:tcW w:w="453"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62/31</w:t>
            </w:r>
          </w:p>
        </w:tc>
        <w:tc>
          <w:tcPr>
            <w:tcW w:w="698" w:type="pct"/>
            <w:shd w:val="clear" w:color="auto" w:fill="auto"/>
          </w:tcPr>
          <w:p w:rsidR="008A57CA" w:rsidRPr="00DC5562" w:rsidRDefault="00A278D7"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A</w:t>
            </w:r>
            <w:r w:rsidR="00DC5562">
              <w:rPr>
                <w:rFonts w:ascii="Times New Roman" w:hAnsi="Times New Roman" w:cs="Times New Roman"/>
                <w:color w:val="000000"/>
                <w:sz w:val="20"/>
                <w:szCs w:val="20"/>
              </w:rPr>
              <w:t xml:space="preserve"> </w:t>
            </w:r>
            <w:r w:rsidRPr="00DC5562">
              <w:rPr>
                <w:rFonts w:ascii="Times New Roman" w:hAnsi="Times New Roman" w:cs="Times New Roman"/>
                <w:color w:val="000000"/>
                <w:sz w:val="20"/>
                <w:szCs w:val="20"/>
              </w:rPr>
              <w:t>-</w:t>
            </w:r>
            <w:r w:rsidR="00DC5562">
              <w:rPr>
                <w:rFonts w:ascii="Times New Roman" w:hAnsi="Times New Roman" w:cs="Times New Roman"/>
                <w:color w:val="000000"/>
                <w:sz w:val="20"/>
                <w:szCs w:val="20"/>
              </w:rPr>
              <w:t xml:space="preserve"> </w:t>
            </w:r>
            <w:r w:rsidRPr="00DC5562">
              <w:rPr>
                <w:rFonts w:ascii="Times New Roman" w:hAnsi="Times New Roman" w:cs="Times New Roman"/>
                <w:color w:val="000000"/>
                <w:sz w:val="20"/>
                <w:szCs w:val="20"/>
              </w:rPr>
              <w:t>based</w:t>
            </w:r>
          </w:p>
        </w:tc>
        <w:tc>
          <w:tcPr>
            <w:tcW w:w="487" w:type="pct"/>
            <w:shd w:val="clear" w:color="auto" w:fill="auto"/>
          </w:tcPr>
          <w:p w:rsidR="008A57CA" w:rsidRPr="00DC5562" w:rsidRDefault="008A57CA"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DMFS</w:t>
            </w:r>
          </w:p>
        </w:tc>
        <w:tc>
          <w:tcPr>
            <w:tcW w:w="294" w:type="pct"/>
            <w:shd w:val="clear" w:color="auto" w:fill="auto"/>
          </w:tcPr>
          <w:p w:rsidR="008A57CA"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Pr>
                <w:rFonts w:ascii="Times New Roman" w:hAnsi="Times New Roman" w:cs="Times New Roman"/>
                <w:color w:val="000000"/>
                <w:sz w:val="20"/>
                <w:szCs w:val="20"/>
              </w:rPr>
              <w:fldChar w:fldCharType="begin"/>
            </w:r>
            <w:r w:rsidR="00A7512F">
              <w:rPr>
                <w:rFonts w:ascii="Times New Roman" w:hAnsi="Times New Roman" w:cs="Times New Roman"/>
                <w:color w:val="000000"/>
                <w:sz w:val="20"/>
                <w:szCs w:val="20"/>
              </w:rPr>
              <w:instrText xml:space="preserve"> ADDIN ZOTERO_ITEM CSL_CITATION {"citationID":"ML8P2mvD","properties":{"formattedCitation":"(29)","plainCitation":"(29)","noteIndex":0},"citationItems":[{"id":103,"uris":["http://zotero.org/users/local/N5R1corn/items/ARNKDSRQ"],"uri":["http://zotero.org/users/local/N5R1corn/items/ARNKDSRQ"],"itemData":{"id":103,"type":"article-journal","title":"Amplification of LAPTM4B and YWHAZ contributes to chemotherapy resistance and recurrence of breast cancer","container-title":"Nature Medicine","page":"214-218","volume":"16","issue":"2","source":"PubMed","abstract":"Adjuvant chemotherapy for breast cancer after surgery has effectively lowered metastatic recurrence rates. However, a considerable proportion of women suffer recurrent cancer at distant metastatic sites despite adjuvant treatment. Identification of the genes crucial for tumor response to specific chemotherapy drugs is a challenge but is necessary to improve outcomes. By using integrated genomics, we identified a small number of overexpressed and amplified genes from chromosome 8q22 that were associated with early disease recurrence despite anthracycline-based adjuvant chemotherapy. We confirmed the association in an analysis of multiple independent cohorts. SiRNA-mediated knockdown of either of two of these genes, the antiapoptotic gene YWHAZ and a lysosomal gene LAPTM4B, sensitized tumor cells to anthracyclines, and overexpression of either of the genes induced anthracycline resistance. Overexpression of LAPTM4B resulted in sequestration of the anthracycline doxorubicin, delaying its appearance in the nucleus. Overexpression of these two genes was associated with poor tumor response to anthracycline treatment in a neoadjuvant chemotherapy trial in women with primary breast cancer. Our results suggest that 8q22 amplification and overexpression of LAPTM4B and YWHAZ contribute to de novo chemoresistance to anthracyclines and are permissive for metastatic recurrence. Overexpression of these two genes may predict anthracycline resistance and influence selection of chemotherapy.","DOI":"10.1038/nm.2090","ISSN":"1546-170X","note":"PMID: 20098429\nPMCID: PMC2826790","journalAbbreviation":"Nat. Med.","language":"eng","author":[{"family":"Li","given":"Yang"},{"family":"Zou","given":"Lihua"},{"family":"Li","given":"Qiyuan"},{"family":"Haibe-Kains","given":"Benjamin"},{"family":"Tian","given":"Ruiyang"},{"family":"Li","given":"Yan"},{"family":"Desmedt","given":"Christine"},{"family":"Sotiriou","given":"Christos"},{"family":"Szallasi","given":"Zoltan"},{"family":"Iglehart","given":"J. Dirk"},{"family":"Richardson","given":"Andrea L."},{"family":"Wang","given":"Zhigang Charles"}],"issued":{"date-parts":[["2010",2]]}}}],"schema":"https://github.com/citation-style-language/schema/raw/master/csl-citation.json"} </w:instrText>
            </w:r>
            <w:r>
              <w:rPr>
                <w:rFonts w:ascii="Times New Roman" w:hAnsi="Times New Roman" w:cs="Times New Roman"/>
                <w:color w:val="000000"/>
                <w:sz w:val="20"/>
                <w:szCs w:val="20"/>
              </w:rPr>
              <w:fldChar w:fldCharType="separate"/>
            </w:r>
            <w:r w:rsidR="00A7512F" w:rsidRPr="00A7512F">
              <w:rPr>
                <w:rFonts w:ascii="Times New Roman" w:hAnsi="Times New Roman" w:cs="Times New Roman"/>
                <w:sz w:val="20"/>
              </w:rPr>
              <w:t>(29)</w:t>
            </w:r>
            <w:r>
              <w:rPr>
                <w:rFonts w:ascii="Times New Roman" w:hAnsi="Times New Roman" w:cs="Times New Roman"/>
                <w:color w:val="000000"/>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8A57CA" w:rsidRPr="00DC5562" w:rsidRDefault="008A57CA"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MDA133</w:t>
            </w:r>
          </w:p>
        </w:tc>
        <w:tc>
          <w:tcPr>
            <w:tcW w:w="638"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52.39+11.31</w:t>
            </w:r>
          </w:p>
        </w:tc>
        <w:tc>
          <w:tcPr>
            <w:tcW w:w="545"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56/77</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40/93</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51/82</w:t>
            </w:r>
          </w:p>
        </w:tc>
        <w:tc>
          <w:tcPr>
            <w:tcW w:w="453"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75/55</w:t>
            </w:r>
          </w:p>
        </w:tc>
        <w:tc>
          <w:tcPr>
            <w:tcW w:w="401"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99/33</w:t>
            </w:r>
          </w:p>
        </w:tc>
        <w:tc>
          <w:tcPr>
            <w:tcW w:w="698" w:type="pct"/>
            <w:shd w:val="clear" w:color="auto" w:fill="auto"/>
          </w:tcPr>
          <w:p w:rsidR="008A57CA"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8A57CA" w:rsidRPr="00DC5562" w:rsidRDefault="008A57CA"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8A57CA"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GkFqw997","properties":{"formattedCitation":"(30)","plainCitation":"(30)","noteIndex":0},"citationItems":[{"id":105,"uris":["http://zotero.org/users/local/N5R1corn/items/NS4T44YV"],"uri":["http://zotero.org/users/local/N5R1corn/items/NS4T44YV"],"itemData":{"id":105,"type":"article-journal","title":"Pharmacogenomic predictor of sensitivity to preoperative chemotherapy with paclitaxel and fluorouracil, doxorubicin, and cyclophosphamide in breast cancer","container-title":"Journal of Clinical Oncology: Official Journal of the American Society of Clinical Oncology","page":"4236-4244","volume":"24","issue":"26","source":"PubMed","abstract":"PURPOSE: We developed a multigene predictor of pathologic complete response (pCR) to preoperative weekly paclitaxel and fluorouracil-doxorubicin-cyclophosphamide (T/FAC) chemotherapy and assessed its predictive accuracy on independent cases.\nPATIENTS AND METHODS: One hundred thirty-three patients with stage I-III breast cancer were included. Pretreatment gene expression profiling was performed with oligonecleotide microarrays on fine-needle aspiration specimens. We developed predictors of pCR from 82 cases and assessed accuracy on 51 independent cases.\nRESULTS: Overall pCR rate was 26% in both cohorts. In the training set, 56 probes were identified as differentially expressed between pCR versus residual disease, at a false discovery rate of 1%. We examined the performance of 780 distinct classifiers (set of genes + prediction algorithm) in full cross-validation. Many predictors performed equally well. A nominally best 30-probe set Diagonal Linear Discriminant Analysis classifier was selected for independent validation. It showed significantly higher sensitivity (92% v 61%) than a clinical predictor including age, grade, and estrogen receptor status. The negative predictive value (96% v 86%) and area under the curve (0.877 v 0.811) were nominally better but not statistically significant. The combination of genomic and clinical information yielded a predictor not significantly different from the genomic predictor alone. In 31 samples, RNA was hybridized in replicate with resulting predictions that were 97% concordant.\nCONCLUSION: A 30-probe set pharmacogenomic predictor predicted pCR to T/FAC chemotherapy with high sensitivity and negative predictive value. This test correctly identified all but one of the patients who achieved pCR (12 of 13 patients) and all but one of those who were predicted to have residual disease had residual cancer (27 of 28 patients).","DOI":"10.1200/JCO.2006.05.6861","ISSN":"1527-7755","note":"PMID: 16896004","journalAbbreviation":"J. Clin. Oncol.","language":"eng","author":[{"family":"Hess","given":"Kenneth R."},{"family":"Anderson","given":"Keith"},{"family":"Symmans","given":"W. Fraser"},{"family":"Valero","given":"Vicente"},{"family":"Ibrahim","given":"Nuhad"},{"family":"Mejia","given":"Jaime A."},{"family":"Booser","given":"Daniel"},{"family":"Theriault","given":"Richard L."},{"family":"Buzdar","given":"Aman U."},{"family":"Dempsey","given":"Peter J."},{"family":"Rouzier","given":"Roman"},{"family":"Sneige","given":"Nour"},{"family":"Ross","given":"Jeffrey S."},{"family":"Vidaurre","given":"Tatiana"},{"family":"Gómez","given":"Henry L."},{"family":"Hortobagyi","given":"Gabriel N."},{"family":"Pusztai","given":"Lajos"}],"issued":{"date-parts":[["2006",9,10]]}}}],"schema":"https://github.com/citation-style-language/schema/raw/master/csl-citation.json"}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(30)</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GSE18728</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10/11</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10/11</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15/6</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T </w:t>
            </w:r>
            <w:r w:rsidRPr="00DC5562">
              <w:rPr>
                <w:rFonts w:ascii="Times New Roman" w:hAnsi="Times New Roman" w:cs="Times New Roman"/>
                <w:sz w:val="20"/>
                <w:szCs w:val="20"/>
              </w:rPr>
              <w:t>-</w:t>
            </w:r>
            <w:r>
              <w:rPr>
                <w:rFonts w:ascii="Times New Roman" w:hAnsi="Times New Roman" w:cs="Times New Roman"/>
                <w:sz w:val="20"/>
                <w:szCs w:val="20"/>
              </w:rPr>
              <w:t xml:space="preserve"> </w:t>
            </w:r>
            <w:r w:rsidRPr="00DC5562">
              <w:rPr>
                <w:rFonts w:ascii="Times New Roman" w:hAnsi="Times New Roman" w:cs="Times New Roman"/>
                <w:sz w:val="20"/>
                <w:szCs w:val="20"/>
              </w:rPr>
              <w:t>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7148A6"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boKh7ngM","properties":{"formattedCitation":"(31)","plainCitation":"(31)","noteIndex":0},"citationItems":[{"id":107,"uris":["http://zotero.org/users/local/N5R1corn/items/H93ALDTV"],"uri":["http://zotero.org/users/local/N5R1corn/items/H93ALDTV"],"itemData":{"id":107,"type":"article-journal","title":"Gene expression pathway analysis to predict response   to neoadjuvant docetaxel and capecitabine for breast cancer","container-title":"Breast Cancer Research and Treatment","page":"685-699","volume":"119","issue":"3","source":"PubMed","abstract":"Neoadjuvant chemotherapy has been shown to be equivalent to post-operative treatment for breast cancer, and allows for assessment of chemotherapy response. In a pilot trial of docetaxel (T) and capecitabine (X) neoadjuvant chemotherapy for Stage II/III BC, we assessed correlation between baseline gene expression and tumor response to treatment, and examined changes in gene expression associated with treatment. Patients received four cycles of TX. Tumor tissue obtained from Mammotome core biopsies pretreatment (BL) and post-cycle 1 (C1) of TX was FLash frozen and stored at -70 degrees C until processing. Gene expression analysis utilized Affymetrix HG-U133 Plus 2.0 GeneChip arrays. Statistical analysis was performed using BRB Array Tools after RMA normalization. Gene ontology (GO) pathway analysis used random variance t tests with a significance level of P\\0.005. For gene categories identified byGO pathway analysis as significant, expression levels of individual genes within those pathways were compared between classes using univariate t tests; those genes with significance level of P\\0.05 were reported. PAM50 analyses were performed on tumor samples to investigate biologic subtype and risk of relapse (ROR). Using GO pathway analysis, 39 gene categories discriminated between responders and non-responders,most notably genes involved in microtubule assembly and regulation. When comparing pre- and post-chemotherapy specimens, we identified 71 differentially expressed gene categories, including DNA repair and cell proliferation regulation. There were 45 GO pathways in which the change in expression after one cycle of chemotherapy was significantly different among responders and nonresponders. The majority of tumor samples fell into the basal like and luminal B categories. ROR scores decreased in response to chemotherapy; this change was more evident in samples from patients classified as responders by clinical criteria. GO pathway analysis identified a number of gene categories pertinent to therapeutic response, and may be an informative method for identifying genes important in response to chemotherapy. Larger studies using the methods described here are necessary to fully evaluate gene expression changes in response to chemotherapy.","DOI":"10.1007/s10549-009-0651-3","ISSN":"1573-7217","note":"PMID: 20012355\nPMCID: PMC5892182","journalAbbreviation":"Breast Cancer Res. Treat.","language":"eng","author":[{"family":"Korde","given":"Larissa A."},{"family":"Lusa","given":"Lara"},{"family":"McShane","given":"Lisa"},{"family":"Lebowitz","given":"Peter F."},{"family":"Lukes","given":"LuAnne"},{"family":"Camphausen","given":"Kevin"},{"family":"Parker","given":"Joel S."},{"family":"Swain","given":"Sandra M."},{"family":"Hunter","given":"Kent"},{"family":"Zujewski","given":"Jo Anne"}],"issued":{"date-parts":[["2010",2]]}}}],"schema":"https://github.com/citation-style-language/schema/raw/master/csl-citation.json"}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(31)</w:t>
            </w:r>
            <w:r>
              <w:rPr>
                <w:rFonts w:ascii="Times New Roman" w:hAnsi="Times New Roman" w:cs="Times New Roman"/>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GSE18864</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49.83+10.28</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0/24</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24/0</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24/0</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24/0</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7148A6"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WHyayaxP","properties":{"formattedCitation":"(29)","plainCitation":"(29)","noteIndex":0},"citationItems":[{"id":103,"uris":["http://zotero.org/users/local/N5R1corn/items/ARNKDSRQ"],"uri":["http://zotero.org/users/local/N5R1corn/items/ARNKDSRQ"],"itemData":{"id":103,"type":"article-journal","title":"Amplification of LAPTM4B and YWHAZ contributes to chemotherapy resistance and recurrence of breast cancer","container-title":"Nature Medicine","page":"214-218","volume":"16","issue":"2","source":"PubMed","abstract":"Adjuvant chemotherapy for breast cancer after surgery has effectively lowered metastatic recurrence rates. However, a considerable proportion of women suffer recurrent cancer at distant metastatic sites despite adjuvant treatment. Identification of the genes crucial for tumor response to specific chemotherapy drugs is a challenge but is necessary to improve outcomes. By using integrated genomics, we identified a small number of overexpressed and amplified genes from chromosome 8q22 that were associated with early disease recurrence despite anthracycline-based adjuvant chemotherapy. We confirmed the association in an analysis of multiple independent cohorts. SiRNA-mediated knockdown of either of two of these genes, the antiapoptotic gene YWHAZ and a lysosomal gene LAPTM4B, sensitized tumor cells to anthracyclines, and overexpression of either of the genes induced anthracycline resistance. Overexpression of LAPTM4B resulted in sequestration of the anthracycline doxorubicin, delaying its appearance in the nucleus. Overexpression of these two genes was associated with poor tumor response to anthracycline treatment in a neoadjuvant chemotherapy trial in women with primary breast cancer. Our results suggest that 8q22 amplification and overexpression of LAPTM4B and YWHAZ contribute to de novo chemoresistance to anthracyclines and are permissive for metastatic recurrence. Overexpression of these two genes may predict anthracycline resistance and influence selection of chemotherapy.","DOI":"10.1038/nm.2090","ISSN":"1546-170X","note":"PMID: 20098429\nPMCID: PMC2826790","journalAbbreviation":"Nat. Med.","language":"eng","author":[{"family":"Li","given":"Yang"},{"family":"Zou","given":"Lihua"},{"family":"Li","given":"Qiyuan"},{"family":"Haibe-Kains","given":"Benjamin"},{"family":"Tian","given":"Ruiyang"},{"family":"Li","given":"Yan"},{"family":"Desmedt","given":"Christine"},{"family":"Sotiriou","given":"Christos"},{"family":"Szallasi","given":"Zoltan"},{"family":"Iglehart","given":"J. Dirk"},{"family":"Richardson","given":"Andrea L."},{"family":"Wang","given":"Zhigang Charles"}],"issued":{"date-parts":[["2010",2]]}}}],"schema":"https://github.com/citation-style-language/schema/raw/master/csl-citation.json"}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(29)</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GSE20194</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52.21+10.84</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112/139</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76/176</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96/156</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138/114</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200/52</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4MKF7EoK","properties":{"formattedCitation":"(32)","plainCitation":"(32)","noteIndex":0},"citationItems":[{"id":109,"uris":["http://zotero.org/users/local/N5R1corn/items/2DWNI5BY"],"uri":["http://zotero.org/users/local/N5R1corn/items/2DWNI5BY"],"itemData":{"id":109,"type":"article-journal","title":"The MicroArray Quality Control (MAQC)-II study of common practices for the development and validation of microarray-based predictive models","container-title":"Nature Biotechnology","page":"827-838","volume":"28","issue":"8","source":"PubMed","abstract":"Gene expression data from microarrays are being applied to predict preclinical and clinical endpoints, but the reliability of these predictions has not been established. In the MAQC-II project, 36 independent teams analyzed six microarray data sets to generate predictive models for classifying a sample with respect to one of 13 endpoints indicative of lung or liver toxicity in rodents, or of breast cancer, multiple myeloma or neuroblastoma in humans. In total, &gt;30,000 models were built using many combinations of analytical methods. The teams generated predictive models without knowing the biological meaning of some of the endpoints and, to mimic clinical reality, tested the models on data that had not been used for training. We found that model performance depended largely on the endpoint and team proficiency and that different approaches generated models of similar performance. The conclusions and recommendations from MAQC-II should be useful for regulatory agencies, study committees and independent investigators that evaluate methods for global gene expression analysis.","DOI":"10.1038/nbt.1665","ISSN":"1546-1696","note":"PMID: 20676074\nPMCID: PMC3315840","journalAbbreviation":"Nat. Biotechnol.","language":"eng","author":[{"family":"Shi","given":"Leming"},{"family":"Campbell","given":"Gregory"},{"family":"Jones","given":"Wendell D."},{"family":"Campagne","given":"Fabien"},{"family":"Wen","given":"Zhining"},{"family":"Walker","given":"Stephen J."},{"family":"Su","given":"Zhenqiang"},{"family":"Chu","given":"Tzu-Ming"},{"family":"Goodsaid","given":"Federico M."},{"family":"Pusztai","given":"Lajos"},{"family":"Shaughnessy","given":"John D."},{"family":"Oberthuer","given":"André"},{"family":"Thomas","given":"Russell S."},{"family":"Paules","given":"Richard S."},{"family":"Fielden","given":"Mark"},{"family":"Barlogie","given":"Bart"},{"family":"Chen","given":"Weijie"},{"family":"Du","given":"Pan"},{"family":"Fischer","given":"Matthias"},{"family":"Furlanello","given":"Cesare"},{"family":"Gallas","given":"Brandon D."},{"family":"Ge","given":"Xijin"},{"family":"Megherbi","given":"Dalila B."},{"family":"Symmans","given":"W. Fraser"},{"family":"Wang","given":"May D."},{"family":"Zhang","given":"John"},{"family":"Bitter","given":"Hans"},{"family":"Brors","given":"Benedikt"},{"family":"Bushel","given":"Pierre R."},{"family":"Bylesjo","given":"Max"},{"family":"Chen","given":"Minjun"},{"family":"Cheng","given":"Jie"},{"family":"Cheng","given":"Jing"},{"family":"Chou","given":"Jeff"},{"family":"Davison","given":"Timothy S."},{"family":"Delorenzi","given":"Mauro"},{"family":"Deng","given":"Youping"},{"family":"Devanarayan","given":"Viswanath"},{"family":"Dix","given":"David J."},{"family":"Dopazo","given":"Joaquin"},{"family":"Dorff","given":"Kevin C."},{"family":"Elloumi","given":"Fathi"},{"family":"Fan","given":"Jianqing"},{"family":"Fan","given":"Shicai"},{"family":"Fan","given":"Xiaohui"},{"family":"Fang","given":"Hong"},{"family":"Gonzaludo","given":"Nina"},{"family":"Hess","given":"Kenneth R."},{"family":"Hong","given":"Huixiao"},{"family":"Huan","given":"Jun"},{"family":"Irizarry","given":"Rafael A."},{"family":"Judson","given":"Richard"},{"family":"Juraeva","given":"Dilafruz"},{"family":"Lababidi","given":"Samir"},{"family":"Lambert","given":"Christophe G."},{"family":"Li","given":"Li"},{"family":"Li","given":"Yanen"},{"family":"Li","given":"Zhen"},{"family":"Lin","given":"Simon M."},{"family":"Liu","given":"Guozhen"},{"family":"Lobenhofer","given":"Edward K."},{"family":"Luo","given":"Jun"},{"family":"Luo","given":"Wen"},{"family":"McCall","given":"Matthew N."},{"family":"Nikolsky","given":"Yuri"},{"family":"Pennello","given":"Gene A."},{"family":"Perkins","given":"Roger G."},{"family":"Philip","given":"Reena"},{"family":"Popovici","given":"Vlad"},{"family":"Price","given":"Nathan D."},{"family":"Qian","given":"Feng"},{"family":"Scherer","given":"Andreas"},{"family":"Shi","given":"Tieliu"},{"family":"Shi","given":"Weiwei"},{"family":"Sung","given":"Jaeyun"},{"family":"Thierry-Mieg","given":"Danielle"},{"family":"Thierry-Mieg","given":"Jean"},{"family":"Thodima","given":"Venkata"},{"family":"Trygg","given":"Johan"},{"family":"Vishnuvajjala","given":"Lakshmi"},{"family":"Wang","given":"Sue Jane"},{"family":"Wu","given":"Jianping"},{"family":"Wu","given":"Yichao"},{"family":"Xie","given":"Qian"},{"family":"Yousef","given":"Waleed A."},{"family":"Zhang","given":"Liang"},{"family":"Zhang","given":"Xuegong"},{"family":"Zhong","given":"Sheng"},{"family":"Zhou","given":"Yiming"},{"family":"Zhu","given":"Sheng"},{"family":"Arasappan","given":"Dhivya"},{"family":"Bao","given":"Wenjun"},{"family":"Lucas","given":"Anne Bergstrom"},{"family":"Berthold","given":"Frank"},{"family":"Brennan","given":"Richard J."},{"family":"Buness","given":"Andreas"},{"family":"Catalano","given":"Jennifer G."},{"family":"Chang","given":"Chang"},{"family":"Chen","given":"Rong"},{"family":"Cheng","given":"Yiyu"},{"family":"Cui","given":"Jian"},{"family":"Czika","given":"Wendy"},{"family":"Demichelis","given":"Francesca"},{"family":"Deng","given":"Xutao"},{"family":"Dosymbekov","given":"Damir"},{"family":"Eils","given":"Roland"},{"family":"Feng","given":"Yang"},{"family":"Fostel","given":"Jennifer"},{"family":"Fulmer-Smentek","given":"Stephanie"},{"family":"Fuscoe","given":"James C."},{"family":"Gatto","given":"Laurent"},{"family":"Ge","given":"Weigong"},{"family":"Goldstein","given":"Darlene R."},{"family":"Guo","given":"Li"},{"family":"Halbert","given":"Donald N."},{"family":"Han","given":"Jing"},{"family":"Harris","given":"Stephen C."},{"family":"Hatzis","given":"Christos"},{"family":"Herman","given":"Damir"},{"family":"Huang","given":"Jianping"},{"family":"Jensen","given":"Roderick V."},{"family":"Jiang","given":"Rui"},{"family":"Johnson","given":"Charles D."},{"family":"Jurman","given":"Giuseppe"},{"family":"Kahlert","given":"Yvonne"},{"family":"Khuder","given":"Sadik A."},{"family":"Kohl","given":"Matthias"},{"family":"Li","given":"Jianying"},{"family":"Li","given":"Li"},{"family":"Li","given":"Menglong"},{"family":"Li","given":"Quan-Zhen"},{"family":"Li","given":"Shao"},{"family":"Li","given":"Zhiguang"},{"family":"Liu","given":"Jie"},{"family":"Liu","given":"Ying"},{"family":"Liu","given":"Zhichao"},{"family":"Meng","given":"Lu"},{"family":"Madera","given":"Manuel"},{"family":"Martinez-Murillo","given":"Francisco"},{"family":"Medina","given":"Ignacio"},{"family":"Meehan","given":"Joseph"},{"family":"Miclaus","given":"Kelci"},{"family":"Moffitt","given":"Richard A."},{"family":"Montaner","given":"David"},{"family":"Mukherjee","given":"Piali"},{"family":"Mulligan","given":"George J."},{"family":"Neville","given":"Padraic"},{"family":"Nikolskaya","given":"Tatiana"},{"family":"Ning","given":"Baitang"},{"family":"Page","given":"Grier P."},{"family":"Parker","given":"Joel"},{"family":"Parry","given":"R. Mitchell"},{"family":"Peng","given":"Xuejun"},{"family":"Peterson","given":"Ron L."},{"family":"Phan","given":"John H."},{"family":"Quanz","given":"Brian"},{"family":"Ren","given":"Yi"},{"family":"Riccadonna","given":"Samantha"},{"family":"Roter","given":"Alan H."},{"family":"Samuelson","given":"Frank W."},{"family":"Schumacher","given":"Martin M."},{"family":"Shambaugh","given":"Joseph D."},{"family":"Shi","given":"Qiang"},{"family":"Shippy","given":"Richard"},{"family":"Si","given":"Shengzhu"},{"family":"Smalter","given":"Aaron"},{"family":"Sotiriou","given":"Christos"},{"family":"Soukup","given":"Mat"},{"family":"Staedtler","given":"Frank"},{"family":"Steiner","given":"Guido"},{"family":"Stokes","given":"Todd H."},{"family":"Sun","given":"Qinglan"},{"family":"Tan","given":"Pei-Yi"},{"family":"Tang","given":"Rong"},{"family":"Tezak","given":"Zivana"},{"family":"Thorn","given":"Brett"},{"family":"Tsyganova","given":"Marina"},{"family":"Turpaz","given":"Yaron"},{"family":"Vega","given":"Silvia C."},{"family":"Visintainer","given":"Roberto"},{"family":"Frese","given":"Juergen","non-dropping-particle":"von"},{"family":"Wang","given":"Charles"},{"family":"Wang","given":"Eric"},{"family":"Wang","given":"Junwei"},{"family":"Wang","given":"Wei"},{"family":"Westermann","given":"Frank"},{"family":"Willey","given":"James C."},{"family":"Woods","given":"Matthew"},{"family":"Wu","given":"Shujian"},{"family":"Xiao","given":"Nianqing"},{"family":"Xu","given":"Joshua"},{"family":"Xu","given":"Lei"},{"family":"Yang","given":"Lun"},{"family":"Zeng","given":"Xiao"},{"family":"Zhang","given":"Jialu"},{"family":"Zhang","given":"Li"},{"family":"Zhang","given":"Min"},{"family":"Zhao","given":"Chen"},{"family":"Puri","given":"Raj K."},{"family":"Scherf","given":"Uwe"},{"family":"Tong","given":"Weida"},{"family":"Wolfinger","given":"Russell D."},{"literal":"MAQC Consortium"}],"issued":{"date-parts":[["2010",8]]}}}],"schema":"https://github.com/citation-style-language/schema/raw/master/csl-citation.json"}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(32)</w:t>
            </w:r>
            <w:r>
              <w:rPr>
                <w:rFonts w:ascii="Times New Roman" w:hAnsi="Times New Roman" w:cs="Times New Roman"/>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GSE20271</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50.69+10.43</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66/66</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57/102</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77/83</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87/73</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137/23</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0VHPc5Zr","properties":{"formattedCitation":"(33)","plainCitation":"(33)","noteIndex":0},"citationItems":[{"id":111,"uris":["http://zotero.org/users/local/N5R1corn/items/RY2TCWJZ"],"uri":["http://zotero.org/users/local/N5R1corn/items/RY2TCWJZ"],"itemData":{"id":111,"type":"article-journal","title":"Evaluation of a 30-gene paclitaxel, fluorouracil, doxorubicin, and cyclophosphamide chemotherapy response predictor in a multicenter randomized trial in breast cancer","container-title":"Clinical Cancer Research: An Official Journal of the American Association for Cancer Research","page":"5351-5361","volume":"16","issue":"21","source":"PubMed","abstract":"PURPOSE: We examined in a prospective, randomized, international clinical trial the performance of a previously defined 30-gene predictor (DLDA-30) of pathologic complete response (pCR) to preoperative weekly paclitaxel and fluorouracil, doxorubicin, and cyclophosphamide (T/FAC) chemotherapy, and assessed if DLDA-30 also predicts increased sensitivity to FAC-only chemotherapy. We compared the pCR rates after T/FAC versus FACx6 preoperative chemotherapy. We also did an exploratory analysis to identify novel candidate genes that differentially predict response in the two treatment arms.\nEXPERIMENTAL DESIGN: Two hundred and seventy-three patients were randomly assigned to receive either weekly paclitaxel × 12 followed by FAC × 4 (T/FAC, n = 138), or FAC × 6 (n = 135) neoadjuvant chemotherapy. All patients underwent a pretreatment fine-needle aspiration biopsy of the tumor for gene expression profiling and treatment response prediction.\nRESULTS: The pCR rates were 19% and 9% in the T/FAC and FAC arms, respectively (P &lt; 0.05). In the T/FAC arm, the positive predictive value (PPV) of the genomic predictor was 38% [95% confidence interval (95% CI), 21-56%], the negative predictive value was 88% (95% CI, 77-95%), and the area under the receiver operating characteristic curve (AUC) was 0.711. In the FAC arm, the PPV was 9% (95% CI, 1-29%) and the AUC was 0.584. This suggests that the genomic predictor may have regimen specificity. Its performance was similar to a clinical variable-based predictor nomogram.\nCONCLUSIONS: Gene expression profiling for prospective response prediction was feasible in this international trial. The 30-gene predictor can identify patients with greater than average sensitivity to T/FAC chemotherapy. However, it captured molecular equivalents of clinical phenotype. Next-generation predictive markers will need to be developed separately for different molecular subsets of breast cancers.","DOI":"10.1158/1078-0432.CCR-10-1265","ISSN":"1078-0432","note":"PMID: 20829329\nPMCID: PMC4181852","journalAbbreviation":"Clin. Cancer Res.","language":"eng","author":[{"family":"Tabchy","given":"Adel"},{"family":"Valero","given":"Vicente"},{"family":"Vidaurre","given":"Tatiana"},{"family":"Lluch","given":"Ana"},{"family":"Gomez","given":"Henry"},{"family":"Martin","given":"Miguel"},{"family":"Qi","given":"Yuan"},{"family":"Barajas-Figueroa","given":"Luis Javier"},{"family":"Souchon","given":"Eduardo"},{"family":"Coutant","given":"Charles"},{"family":"Doimi","given":"Franco D."},{"family":"Ibrahim","given":"Nuhad K."},{"family":"Gong","given":"Yun"},{"family":"Hortobagyi","given":"Gabriel N."},{"family":"Hess","given":"Kenneth R."},{"family":"Symmans","given":"W. Fraser"},{"family":"Pusztai","given":"Lajos"}],"issued":{"date-parts":[["2010",11,1]]}}}],"schema":"https://github.com/citation-style-language/schema/raw/master/csl-citation.json"}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(33)</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GSE26639</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64/80</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55/94</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79/68</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116/33</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uXqwiPHv","properties":{"formattedCitation":"(34)","plainCitation":"(34)","noteIndex":0},"citationItems":[{"id":113,"uris":["http://zotero.org/users/local/N5R1corn/items/IB4A8BB2"],"uri":["http://zotero.org/users/local/N5R1corn/items/IB4A8BB2"],"itemData":{"id":113,"type":"article-journal","title":"Importance of pre-analytical steps for transcriptome and RT-qPCR analyses in the context of the phase II randomised multicentre trial REMAGUS02 of neoadjuvant chemotherapy in breast cancer patients","container-title":"BMC cancer","page":"215","volume":"11","source":"PubMed","abstract":"BACKGROUND: Identification of predictive markers of response to treatment is a major objective in breast cancer. A major problem in clinical sampling is the variability of RNA templates, requiring accurate management of tumour material and subsequent analyses for future translation in clinical practice. Our aim was to establish the feasibility and reliability of high throughput RNA analysis in a prospective trial.\nMETHODS: This study was conducted on RNA from initial biopsies, in a prospective trial of neoadjuvant chemotherapy in 327 patients with inoperable breast cancer. Four independent centres included patients and samples. Human U133 GeneChips plus 2.0 arrays for transcriptome analysis and quantitative RT-qPCR of 45 target genes and 6 reference genes were analysed on total RNA.\nRESULTS: Thirty seven samples were excluded because i) they contained less than 30% malignant cells, or ii) they provided RNA Integrity Number (RIN) of poor quality. Among the 290 remaining cases, taking into account strict quality control criteria initially defined to ensure good quality of sampling, 78% and 82% samples were eligible for transcriptome and RT-qPCR analyses, respectively. For RT-qPCR, efficiency was corrected by using standard curves for each gene and each plate. It was greater than 90% for all genes. Clustering analysis highlighted relevant breast cancer phenotypes for both techniques (ER+, PR+, HER2+, triple negative). Interestingly, clustering on trancriptome data also demonstrated a \"centre effect\", probably due to the sampling or extraction methods used in on of the centres. Conversely, the calibration of RT-qPCR analysis led to the centre effect withdrawing, allowing multicentre analysis of gene transcripts with high accuracy.\nCONCLUSIONS: Our data showed that strict quality criteria for RNA integrity assessment and well calibrated and standardized RT-qPCR allows multicentre analysis of genes transcripts with high accuracy in the clinical context. More stringent criteria are needed for transcriptome analysis for clinical applications.","DOI":"10.1186/1471-2407-11-215","ISSN":"1471-2407","note":"PMID: 21631949\nPMCID: PMC3126791","journalAbbreviation":"BMC Cancer","language":"eng","author":[{"family":"Cremoux","given":"Patricia","non-dropping-particle":"de"},{"family":"Valet","given":"Fabien"},{"family":"Gentien","given":"David"},{"family":"Lehmann-Che","given":"Jacqueline"},{"family":"Scott","given":"Véronique"},{"family":"Tran-Perennou","given":"Carine"},{"family":"Barbaroux","given":"Catherine"},{"family":"Servant","given":"Nicolas"},{"family":"Vacher","given":"Sophie"},{"family":"Sigal-Zafrani","given":"Brigitte"},{"family":"Mathieu","given":"Marie-Christine"},{"family":"Bertheau","given":"Philippe"},{"family":"Guinebretière","given":"Jean-Marc"},{"family":"Asselain","given":"Bernard"},{"family":"Marty","given":"Michel"},{"family":"Spyratos","given":"Frédérique"}],"issued":{"date-parts":[["2011",6,1]]}}}],"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(34)</w:t>
            </w:r>
            <w:r>
              <w:rPr>
                <w:rFonts w:ascii="Times New Roman" w:hAnsi="Times New Roman" w:cs="Times New Roman"/>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GSE32646</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51.49+10.36</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94/21</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32/83</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44/71</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70/45</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81/34</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zTGB01wW","properties":{"formattedCitation":"(35)","plainCitation":"(35)","noteIndex":0},"citationItems":[{"id":116,"uris":["http://zotero.org/users/local/N5R1corn/items/K2WZ8VGT"],"uri":["http://zotero.org/users/local/N5R1corn/items/K2WZ8VGT"],"itemData":{"id":116,"type":"article-journal","title":"GSTP1 expression predicts poor pathological complete response to neoadjuvant chemotherapy in ER-negative breast cancer","container-title":"Cancer Science","page":"913-920","volume":"103","issue":"5","source":"PubMed","abstract":"The purpose of the present study was to investigate the association of glutathione S-transferase P1 (GSTP1) expression with resistance to neoadjuvant paclitaxel followed by 5-fluorouracil/epirubicin/cyclophosphamide (P-FEC) in human breast cancers. The relationship of GSTP1 expression and GSTP1 promoter hypermethylation with intrinsic subtypes was also investigated. In this study, primary breast cancer patients (n = 123, stage II-III) treated with neoadjuvant P-FEC were analyzed. Tumor samples were obtained by vacuum-assisted core biopsy before P-FEC. GSTP1 expression was determined using immunohistochemistry, GSTP1 promoter methylation index (MI) using bisulfite methylation assay and intrinsic subtypes using DNA microarray. The pathological complete response (pCR) rate was significantly higher in GSTP1-negative tumors (80.0%) than GSTP1-positive tumors (30.6%) (P = 0.009) among estrogen receptor (ER)-negative tumors but not among ER-positive tumors (P = 0.267). Multivariate analysis showed that GSTP1 was the only predictive factor for pCR (P = 0.013) among ER-negative tumors. Luminal A, luminal B and HER2-enriched tumors showed a significantly lower GSTP1 positivity than basal-like tumors (P = 0.002, P &lt; 0.001 and P = 0.009, respectively), while luminal A, luminal B and HER2-enriched tumors showed a higher GSTP1 MI than basal-like tumors (P = 0.076, P &lt; 0.001 and P &lt; 0.001, respectively). In conclusion, these results suggest the possibility that GSTP1 expression can predict pathological response to P-FEC in ER-negative tumors but not in ER-positive tumors. Additionally, GSTP1 promoter hypermethylation might be implicated more importantly in the pathogenesis of luminal A, luminal B and HER2-enriched tumors than basal-like tumors.","DOI":"10.1111/j.1349-7006.2012.02231.x","ISSN":"1349-7006","note":"PMID: 22320227","journalAbbreviation":"Cancer Sci.","language":"eng","author":[{"family":"Miyake","given":"Tomohiro"},{"family":"Nakayama","given":"Takahiro"},{"family":"Naoi","given":"Yasuto"},{"family":"Yamamoto","given":"Noriaki"},{"family":"Otani","given":"Yoko"},{"family":"Kim","given":"Seung J."},{"family":"Shimazu","given":"Kenzo"},{"family":"Shimomura","given":"Atsushi"},{"family":"Maruyama","given":"Naomi"},{"family":"Tamaki","given":"Yasuhiro"},{"family":"Noguchi","given":"Shinzaburo"}],"issued":{"date-parts":[["2012",5]]}}}],"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(35)</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GSE37946</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49.42+11.18</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32/18</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37/13</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0/50</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xfpf5VFl","properties":{"formattedCitation":"(36)","plainCitation":"(36)","noteIndex":0},"citationItems":[{"id":118,"uris":["http://zotero.org/users/local/N5R1corn/items/7DUZI42R"],"uri":["http://zotero.org/users/local/N5R1corn/items/7DUZI42R"],"itemData":{"id":118,"type":"article-journal","title":"Seventeen-gene signature from enriched Her2/Neu mammary tumor-initiating cells predicts clinical outcome for human HER2+:ERα- breast cancer","container-title":"Proceedings of the National Academy of Sciences of the United States of America","page":"5832-5837","volume":"109","issue":"15","source":"PubMed","abstract":"Human Epidermal Growth Factor Receptor 2-positive (HER2(+)) breast cancer (BC) is a highly aggressive disease commonly treated with chemotherapy and anti-HER2 drugs, including trastuzumab. There is currently no way to predict which HER2(+) BC patients will benefit from these treatments. Previous prognostic signatures for HER2(+) BC were developed irrespective of the subtype or the hierarchical organization of cancer in which only a fraction of cells, tumor-initiating cells (TICs), can sustain tumor growth. Here, we used serial dilution and single-cell transplantation assays to identify MMTV-Her2/Neu mouse mammary TICs as CD24(+):JAG1(-) at a frequency of 2-4.5%. A 17-gene Her2-TIC-enriched signature (HTICS), generated on the basis of differentially expressed genes in TIC versus non-TIC fractions and trained on one HER2(+) BC cohort, predicted clinical outcome on multiple independent HER2(+) cohorts. HTICS included up-regulated genes involved in S/G2/M transition and down-regulated genes involved in immune response. Its prognostic power was independent of other predictors, stratified lymph node(+) HER2(+) BC into low and high-risk subgroups, and was specific for HER2(+):estrogen receptor alpha-negative (ERα(-)) patients (10-y overall survival of 83.6% for HTICS(-) and 24.0% for HTICS(+) tumors; hazard ratio = 5.57; P = 0.002). Whereas HTICS was specific to HER2(+):ERα(-) tumors, a previously reported stroma-derived signature was predictive for HER2(+):ERα(+) BC. Retrospective analyses revealed that patients with HTICS(+) HER2(+):ERα(-) tumors resisted chemotherapy but responded to chemotherapy plus trastuzumab. HTICS is, therefore, a powerful prognostic signature for HER2(+):ERα(-) BC that can be used to identify high risk patients that would benefit from anti-HER2 therapy.","DOI":"10.1073/pnas.1201105109","ISSN":"1091-6490","note":"PMID: 22460789\nPMCID: PMC3326451","title-short":"Seventeen-gene signature from enriched Her2/Neu mammary tumor-initiating cells predicts clinical outcome for human HER2+","journalAbbreviation":"Proc. Natl. Acad. Sci. U.S.A.","language":"eng","author":[{"family":"Liu","given":"Jeff C."},{"family":"Voisin","given":"Veronique"},{"family":"Bader","given":"Gary D."},{"family":"Deng","given":"Tao"},{"family":"Pusztai","given":"Lajos"},{"family":"Symmans","given":"William Fraser"},{"family":"Esteva","given":"Francisco J."},{"family":"Egan","given":"Sean E."},{"family":"Zacksenhaus","given":"Eldad"}],"issued":{"date-parts":[["2012",4,10]]}}}],"schema":"https://github.com/citation-style-language/schema/raw/master/csl-citation.json"}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(36)</w:t>
            </w:r>
            <w:r>
              <w:rPr>
                <w:rFonts w:ascii="Times New Roman" w:hAnsi="Times New Roman" w:cs="Times New Roman"/>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GSE41998</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48.38+10.71</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152/100</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158/93</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228/24</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asOIfk0Q","properties":{"formattedCitation":"(37)","plainCitation":"(37)","noteIndex":0},"citationItems":[{"id":120,"uris":["http://zotero.org/users/local/N5R1corn/items/ZML8M8DJ"],"uri":["http://zotero.org/users/local/N5R1corn/items/ZML8M8DJ"],"itemData":{"id":120,"type":"article-journal","title":"Biomarker analysis of neoadjuvant doxorubicin/cyclophosphamide followed by ixabepilone or Paclitaxel in early-stage breast cancer","container-title":"Clinical Cancer Research: An Official Journal of the American Association for Cancer Research","page":"1587-1595","volume":"19","issue":"6","source":"PubMed","abstract":"PURPOSE: Predictive biomarkers offer the potential to improve the benefit:risk ratio of a therapeutic agent. Ixabepilone achieves comparable pathologic complete response (pCR) rates to other active drugs in the neoadjuvant setting. This phase II trial was designed to investigate potential biomarkers that differentiate response to this agent.\nEXPERIMENTAL DESIGN: Women with untreated, histologically confirmed primary invasive breast adenocarcinoma received neoadjuvant doxorubicin/cyclophosphamide, followed by 1:1 randomization to ixabepilone (n = 148) or paclitaxel (n = 147). Rates of pCR were compared between treatment arms based on predefined biomarker sets: TUBB3, TACC3, and CAPG gene expression, a 20- and 26-gene expression model, MDR1 protein expression, and other potential markers of sensitivity. βIII-tubulin protein expression is reported separately but is referred to here for completeness. All patients underwent a core needle biopsy of the primary cancer for molecular marker analysis before chemotherapy. Gene expression profiling data were used for molecular subtyping.\nRESULTS: There was no significant difference in the rate of pCR in both treatment arms in βIII-tubulin-positive patients. Higher pCR rates were observed among βIII-tubulin-positive patients than in βIII-tubulin-negative patients. Furthermore, no correlation was evident between TUBB3, TACC3, and CAPG gene expression, MDR1 protein expression, multi-gene expression models, and the efficacy of ixabepilone or paclitaxel, even within the estrogen receptor-negative subset.\nCONCLUSION: These results indicate that βIII-tubulin protein and mRNA expression, MDR1 protein expression, TACC3 and CAPG gene expression, and multigene expression models (20- and 26-gene) are not predictive markers for differentiating treatment benefit between ixabepilone and paclitaxel in early-stage breast cancer.","DOI":"10.1158/1078-0432.CCR-12-1359","ISSN":"1078-0432","note":"PMID: 23340299","journalAbbreviation":"Clin. Cancer Res.","language":"eng","author":[{"family":"Horak","given":"Christine E."},{"family":"Pusztai","given":"Lajos"},{"family":"Xing","given":"Guan"},{"family":"Trifan","given":"Ovidiu C."},{"family":"Saura","given":"Cristina"},{"family":"Tseng","given":"Ling-Ming"},{"family":"Chan","given":"Stephen"},{"family":"Welcher","given":"Rosanne"},{"family":"Liu","given":"David"}],"issued":{"date-parts":[["2013",3,15]]}}}],"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(37)</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GSE42822</w:t>
            </w:r>
          </w:p>
        </w:tc>
        <w:tc>
          <w:tcPr>
            <w:tcW w:w="63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49.55+9.02</w:t>
            </w:r>
          </w:p>
        </w:tc>
        <w:tc>
          <w:tcPr>
            <w:tcW w:w="545"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23/53</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29/59</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52/38</w:t>
            </w:r>
          </w:p>
        </w:tc>
        <w:tc>
          <w:tcPr>
            <w:tcW w:w="453"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50/40</w:t>
            </w:r>
          </w:p>
        </w:tc>
        <w:tc>
          <w:tcPr>
            <w:tcW w:w="401"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54/34</w:t>
            </w:r>
          </w:p>
        </w:tc>
        <w:tc>
          <w:tcPr>
            <w:tcW w:w="698"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wiTjFLMy","properties":{"formattedCitation":"(38)","plainCitation":"(38)","noteIndex":0},"citationItems":[{"id":122,"uris":["http://zotero.org/users/local/N5R1corn/items/889DJP53"],"uri":["http://zotero.org/users/local/N5R1corn/items/889DJP53"],"itemData":{"id":122,"type":"article-journal","title":"Cell line derived multi-gene predictor of pathologic response to neoadjuvant chemotherapy in breast cancer: a validation study on US Oncology 02-103 clinical trial","container-title":"BMC medical genomics","page":"51","volume":"5","source":"PubMed","abstract":"BACKGROUND: The purpose of this study is to assess the predictive accuracy of a multi-gene predictor of response to docetaxel, 5-fluorouracil, epirubicin and cyclophosphamide combination chemotherapy on gene expression data from patients who received these drugs as neoadjuvant treatment.\nMETHODS: Tumor samples were obtained from patients with stage II-III breast cancer before starting neoadjuvant chemotherapy with four cycles of 5-fluorouracil/epirubicin/cyclophosphamide (FEC) followed by four cycles of docetaxel/capecitabine (TX) on US Oncology clinical trial 02-103. Most patients with HER-2-positive cancer also received trastuzumab (H). The chemotherapy predictor (TFEC-MGP) was developed from publicly available gene expression data of 42 breast cancer cell-lines with corresponding in vitro chemotherapy sensitivity results for the four chemotherapy drugs. No predictor was developed for treatment with trastuzumab. The predictive performance of TFEC-MGP in distinguishing cases with pathologic complete response from those with residual disease was evaluated for the FEC/TX and FEC/TX plus H group separately. The area under the receiver-operating characteristic curve (AU-ROC) was used as the metric of predictive performance. Genomic predictions were performed blinded to clinical outcome.\nRESULTS: The AU-ROC was 0.70 (95% CI: 0.57-0.82) for the FEC/TX group (n=66) and 0.43 (95% CI: 0.20-0.66) for the FEC/TX plus H group (n=25). Among the patients treated with FEC/TX, the AU-ROC was 0.69 (95% CI: 0.52-0.86) for estrogen receptor (ER)-negative (n=28) and it was 0.59 (95% CI: 0.36-0.82) for ER-positive cancers (n=37). ER status was not reported for one patient.\nCONCLUSIONS: Our results indicate that the cell line derived 291-probeset genomic predictor of response to FEC/TX combination chemotherapy shows good performance in a blinded validation study, particularly in ER-negative patients.","DOI":"10.1186/1755-8794-5-51","ISSN":"1755-8794","note":"PMID: 23158478\nPMCID: PMC3536618","title-short":"Cell line derived multi-gene predictor of pathologic response to neoadjuvant chemotherapy in breast cancer","journalAbbreviation":"BMC Med Genomics","language":"eng","author":[{"family":"Shen","given":"Kui"},{"family":"Qi","given":"Yuan"},{"family":"Song","given":"Nan"},{"family":"Tian","given":"Chunqiao"},{"family":"Rice","given":"Shara D."},{"family":"Gabrin","given":"Michael J."},{"family":"Brower","given":"Stacey L."},{"family":"Symmans","given":"William Fraser"},{"family":"O'Shaughnessy","given":"Joyce A."},{"family":"Holmes","given":"Frankie A."},{"family":"Asmar","given":"Lina"},{"family":"Pusztai","given":"Lajos"}],"issued":{"date-parts":[["2012",11,16]]}}}],"schema":"https://github.com/citation-style-language/schema/raw/master/csl-citation.json"}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(38)</w:t>
            </w:r>
            <w:r>
              <w:rPr>
                <w:rFonts w:ascii="Times New Roman" w:hAnsi="Times New Roman" w:cs="Times New Roman"/>
                <w:sz w:val="20"/>
                <w:szCs w:val="20"/>
              </w:rPr>
              <w:fldChar w:fldCharType="end"/>
            </w:r>
          </w:p>
        </w:tc>
      </w:tr>
      <w:tr w:rsidR="00A7512F" w:rsidRPr="00DC5562" w:rsidTr="001D5C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 w:type="pct"/>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GSE50948</w:t>
            </w:r>
          </w:p>
        </w:tc>
        <w:tc>
          <w:tcPr>
            <w:tcW w:w="63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51.67+9.96</w:t>
            </w:r>
          </w:p>
        </w:tc>
        <w:tc>
          <w:tcPr>
            <w:tcW w:w="545"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68/86</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104/52</w:t>
            </w:r>
          </w:p>
        </w:tc>
        <w:tc>
          <w:tcPr>
            <w:tcW w:w="453"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121/35</w:t>
            </w:r>
          </w:p>
        </w:tc>
        <w:tc>
          <w:tcPr>
            <w:tcW w:w="401"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42/114</w:t>
            </w:r>
          </w:p>
        </w:tc>
        <w:tc>
          <w:tcPr>
            <w:tcW w:w="698"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shd w:val="clear" w:color="auto" w:fill="auto"/>
          </w:tcPr>
          <w:p w:rsidR="00DC5562" w:rsidRPr="00DC5562" w:rsidRDefault="00DC5562"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shd w:val="clear" w:color="auto" w:fill="auto"/>
          </w:tcPr>
          <w:p w:rsidR="00DC5562" w:rsidRPr="00DC5562" w:rsidRDefault="006B46D9" w:rsidP="00A34E3A">
            <w:pPr>
              <w:spacing w:line="260" w:lineRule="exac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asqv9SVW","properties":{"formattedCitation":"(39)","plainCitation":"(39)","noteIndex":0},"citationItems":[{"id":124,"uris":["http://zotero.org/users/local/N5R1corn/items/AU9PBM6I"],"uri":["http://zotero.org/users/local/N5R1corn/items/AU9PBM6I"],"itemData":{"id":124,"type":"article-journal","title":"Research-based PAM50 subtype predictor identifies higher responses and improved survival outcomes in HER2-positive breast cancer in the NOAH study","container-title":"Clinical Cancer Research: An Official Journal of the American Association for Cancer Research","page":"511-521","volume":"20","issue":"2","source":"PubMed","abstract":"PURPOSE: We report a retrospective exploratory analysis of the association of the research-based prediction analysis of microarray 50 (PAM50) subtype predictor with pathologic complete response (pCR) and event-free survival (EFS) in women enrolled in the NeOAdjuvant Herceptin (NOAH) trial.\nEXPERIMENTAL DESIGN: Gene expression profiling was performed using RNA from formalin-fixed paraffin-embedded core biopsies from 114 pretreated patients with HER2-positive (HER2(+)) tumors randomized to receive neoadjuvant doxorubicin/paclitaxel (AT) followed by cyclophosphamide/methotrexate/fluorouracil (CMF), or the same regimen in combination with trastuzumab for one year. A control cohort of 42 patients with HER2-negative tumors treated with AT-CMF was also included. The PAM50 subtypes, the PAM50 proliferation score, and the PAM50 risk of relapse score based on subtype (RORS) and subtype and proliferation (RORP) were evaluated.\nRESULTS: HER2-enriched (HER2-E) tumors predominated within HER2(+) disease, although all PAM50 intrinsic subtypes were identified across the three cohorts. The OR for achieving pCR with trastuzumab-based chemotherapy for HER2(+)/HER2-E and HER2(+)/RORP-high were 5.117 (P = 0.009) and 8.469 (P = 0.025), respectively, compared with chemotherapy only. The pCR rates of HER2(+)/HER2-E and HER2(+)/RORP-high after trastuzumab-based chemotherapy were 52.9% and 75.0%, respectively. A statistically nonsignificant trend was observed for more pronounced survival benefit with trastuzumab in patients with HER2(+)/HER2-E and HER2(+)/RORP-high tumors compared with patients with HER2(+)/non-HER2-E and HER2(+)/non-RORP-high tumors, respectively.\nCONCLUSIONS: As determined by EFS and pCR, patients with HER2(+)/HER2-E tumors, or HER2(+)/RORP-high tumors, benefit substantially from trastuzumab-based chemotherapy. The clinical value of this genomic test within HER2(+) disease warrants further investigation.","DOI":"10.1158/1078-0432.CCR-13-0239","ISSN":"1078-0432","note":"PMID: 24443618","journalAbbreviation":"Clin. Cancer Res.","language":"eng","author":[{"family":"Prat","given":"Aleix"},{"family":"Bianchini","given":"Giampaolo"},{"family":"Thomas","given":"Marlene"},{"family":"Belousov","given":"Anton"},{"family":"Cheang","given":"Maggie C. U."},{"family":"Koehler","given":"Astrid"},{"family":"Gómez","given":"Patricia"},{"family":"Semiglazov","given":"Vladimir"},{"family":"Eiermann","given":"Wolfgang"},{"family":"Tjulandin","given":"Sergei"},{"family":"Byakhow","given":"Mikhail"},{"family":"Bermejo","given":"Begoña"},{"family":"Zambetti","given":"Milvia"},{"family":"Vazquez","given":"Federico"},{"family":"Gianni","given":"Luca"},{"family":"Baselga","given":"José"}],"issued":{"date-parts":[["2014",1,15]]}}}],"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(39)</w:t>
            </w:r>
            <w:r>
              <w:rPr>
                <w:rFonts w:ascii="Times New Roman" w:hAnsi="Times New Roman" w:cs="Times New Roman"/>
                <w:sz w:val="20"/>
                <w:szCs w:val="20"/>
              </w:rPr>
              <w:fldChar w:fldCharType="end"/>
            </w:r>
          </w:p>
        </w:tc>
      </w:tr>
      <w:tr w:rsidR="00A7512F" w:rsidRPr="00DC5562" w:rsidTr="001D5C36">
        <w:tc>
          <w:tcPr>
            <w:cnfStyle w:val="001000000000" w:firstRow="0" w:lastRow="0" w:firstColumn="1" w:lastColumn="0" w:oddVBand="0" w:evenVBand="0" w:oddHBand="0" w:evenHBand="0" w:firstRowFirstColumn="0" w:firstRowLastColumn="0" w:lastRowFirstColumn="0" w:lastRowLastColumn="0"/>
            <w:tcW w:w="580" w:type="pct"/>
            <w:tcBorders>
              <w:bottom w:val="single" w:sz="8" w:space="0" w:color="000000" w:themeColor="text1"/>
            </w:tcBorders>
            <w:shd w:val="clear" w:color="auto" w:fill="auto"/>
          </w:tcPr>
          <w:p w:rsidR="00DC5562" w:rsidRPr="00DC5562" w:rsidRDefault="00DC5562" w:rsidP="00A34E3A">
            <w:pPr>
              <w:spacing w:line="260" w:lineRule="exact"/>
              <w:rPr>
                <w:rFonts w:ascii="Times New Roman" w:hAnsi="Times New Roman" w:cs="Times New Roman"/>
                <w:sz w:val="20"/>
                <w:szCs w:val="20"/>
              </w:rPr>
            </w:pPr>
            <w:r w:rsidRPr="00DC5562">
              <w:rPr>
                <w:rFonts w:ascii="Times New Roman" w:hAnsi="Times New Roman" w:cs="Times New Roman"/>
                <w:sz w:val="20"/>
                <w:szCs w:val="20"/>
              </w:rPr>
              <w:t>GSE66305</w:t>
            </w:r>
          </w:p>
        </w:tc>
        <w:tc>
          <w:tcPr>
            <w:tcW w:w="638"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545"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53"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NA</w:t>
            </w:r>
          </w:p>
        </w:tc>
        <w:tc>
          <w:tcPr>
            <w:tcW w:w="401"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0"/>
                <w:szCs w:val="20"/>
              </w:rPr>
            </w:pPr>
            <w:r w:rsidRPr="00DC5562">
              <w:rPr>
                <w:rFonts w:ascii="Times New Roman" w:hAnsi="Times New Roman" w:cs="Times New Roman"/>
                <w:color w:val="000000"/>
                <w:sz w:val="20"/>
                <w:szCs w:val="20"/>
              </w:rPr>
              <w:t>0/88</w:t>
            </w:r>
          </w:p>
        </w:tc>
        <w:tc>
          <w:tcPr>
            <w:tcW w:w="698"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T + A-based</w:t>
            </w:r>
          </w:p>
        </w:tc>
        <w:tc>
          <w:tcPr>
            <w:tcW w:w="487" w:type="pct"/>
            <w:tcBorders>
              <w:bottom w:val="single" w:sz="8" w:space="0" w:color="000000" w:themeColor="text1"/>
            </w:tcBorders>
            <w:shd w:val="clear" w:color="auto" w:fill="auto"/>
          </w:tcPr>
          <w:p w:rsidR="00DC5562" w:rsidRPr="00DC5562" w:rsidRDefault="00DC5562"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C5562">
              <w:rPr>
                <w:rFonts w:ascii="Times New Roman" w:hAnsi="Times New Roman" w:cs="Times New Roman"/>
                <w:sz w:val="20"/>
                <w:szCs w:val="20"/>
              </w:rPr>
              <w:t>NA</w:t>
            </w:r>
          </w:p>
        </w:tc>
        <w:tc>
          <w:tcPr>
            <w:tcW w:w="294" w:type="pct"/>
            <w:tcBorders>
              <w:bottom w:val="single" w:sz="8" w:space="0" w:color="000000" w:themeColor="text1"/>
            </w:tcBorders>
            <w:shd w:val="clear" w:color="auto" w:fill="auto"/>
          </w:tcPr>
          <w:p w:rsidR="00DC5562" w:rsidRPr="00DC5562" w:rsidRDefault="006B46D9" w:rsidP="00A34E3A">
            <w:pPr>
              <w:spacing w:line="260" w:lineRule="exac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fldChar w:fldCharType="begin"/>
            </w:r>
            <w:r w:rsidR="00A7512F">
              <w:rPr>
                <w:rFonts w:ascii="Times New Roman" w:hAnsi="Times New Roman" w:cs="Times New Roman"/>
                <w:sz w:val="20"/>
                <w:szCs w:val="20"/>
              </w:rPr>
              <w:instrText xml:space="preserve"> ADDIN ZOTERO_ITEM CSL_CITATION {"citationID":"Qk7rssZa","properties":{"formattedCitation":"(40)","plainCitation":"(40)","noteIndex":0},"citationItems":[{"id":126,"uris":["http://zotero.org/users/local/N5R1corn/items/DRRPIB6T"],"uri":["http://zotero.org/users/local/N5R1corn/items/DRRPIB6T"],"itemData":{"id":126,"type":"article-journal","title":"Prospective Biomarker Analysis of the Randomized CHER-LOB Study Evaluating the Dual Anti-HER2 Treatment With Trastuzumab and Lapatinib Plus Chemotherapy as Neoadjuvant Therapy for HER2-Positive Breast Cancer","container-title":"The Oncologist","page":"1001-1010","volume":"20","issue":"9","source":"PubMed","abstract":"BACKGROUND: The CHER-LOB randomized phase II study showed that the combination of lapatinib and trastuzumab plus chemotherapy increases the pathologic complete remission (pCR) rate compared with chemotherapy plus either trastuzumab or lapatinib. A biomarker program was prospectively planned to identify potential predictors of sensitivity to different treatments and to evaluate treatment effect on tumor biomarkers.\nMATERIALS AND METHODS: Overall, 121 breast cancer patients positive for human epidermal growth factor 2 (HER2) were randomly assigned to neoadjuvant chemotherapy plus trastuzumab, lapatinib, or both trastuzumab and lapatinib. Pre- and post-treatment samples were centrally evaluated for HER2, p95-HER2, phosphorylated AKT (pAKT), phosphatase and tensin homolog, Ki67, apoptosis, and PIK3CA mutations. Fresh-frozen tissue samples were collected for genomic analyses.\nRESULTS: A mutation in PIK3CA exon 20 or 9 was documented in 20% of cases. Overall, the pCR rates were similar in PIK3CA wild-type and PIK3CA-mutated patients (33.3% vs. 22.7%; p = .323). For patients receiving trastuzumab plus lapatinib, the probability of pCR was higher in PIK3CA wild-type tumors (48.4% vs. 12.5%; p = .06). Ki67, pAKT, and apoptosis measured on the residual disease were significantly reduced from baseline. The degree of Ki67 inhibition was significantly higher in patients receiving the dual anti-HER2 blockade. The integrated analysis of gene expression and copy number data demonstrated that a 50-gene signature specifically predicted the lapatinib-induced pCR.\nCONCLUSION: PIK3CA mutations seem to identify patients who are less likely to benefit from dual anti-HER2 inhibition. p95-HER2 and markers of phosphoinositide 3-kinase pathway deregulation are not confirmed as markers of different sensitivity to trastuzumab or lapatinib.\nIMPLICATIONS FOR PRACTICE: HER2 is currently the only validated marker to select breast cancer patients for anti-HER2 treatment; however, it is becoming evident that HER2-positive breast cancer is a heterogeneous disease. In addition, more and more new anti-HER2 treatments are becoming available. There is a need to identify markers of sensitivity to different treatments to move in the direction of treatment personalization. This study identified PIK3CA mutations as a potential predictive marker of resistance to dual anti-HER2 treatment that should be further studied in breast cancer.","DOI":"10.1634/theoncologist.2015-0138","ISSN":"1549-490X","note":"PMID: 26245675\nPMCID: PMC4571802","journalAbbreviation":"Oncologist","language":"eng","author":[{"family":"Guarneri","given":"Valentina"},{"family":"Dieci","given":"Maria Vittoria"},{"family":"Frassoldati","given":"Antonio"},{"family":"Maiorana","given":"Antonino"},{"family":"Ficarra","given":"Guido"},{"family":"Bettelli","given":"Stefania"},{"family":"Tagliafico","given":"Enrico"},{"family":"Bicciato","given":"Silvio"},{"family":"Generali","given":"Daniele Giulio"},{"family":"Cagossi","given":"Katia"},{"family":"Bisagni","given":"Giancarlo"},{"family":"Sarti","given":"Samanta"},{"family":"Musolino","given":"Antonino"},{"family":"Ellis","given":"Catherine"},{"family":"Crescenzo","given":"Rocco"},{"family":"Conte","given":"PierFranco"}],"issued":{"date-parts":[["2015",9]]}}}],"schema":"https://github.com/citation-style-language/schema/raw/master/csl-citation.json"} </w:instrText>
            </w:r>
            <w:r>
              <w:rPr>
                <w:rFonts w:ascii="Times New Roman" w:hAnsi="Times New Roman" w:cs="Times New Roman"/>
                <w:sz w:val="20"/>
                <w:szCs w:val="20"/>
              </w:rPr>
              <w:fldChar w:fldCharType="separate"/>
            </w:r>
            <w:r w:rsidR="00A7512F" w:rsidRPr="00A7512F">
              <w:rPr>
                <w:rFonts w:ascii="Times New Roman" w:hAnsi="Times New Roman" w:cs="Times New Roman"/>
                <w:sz w:val="20"/>
              </w:rPr>
              <w:t>(40)</w:t>
            </w:r>
            <w:r>
              <w:rPr>
                <w:rFonts w:ascii="Times New Roman" w:hAnsi="Times New Roman" w:cs="Times New Roman"/>
                <w:sz w:val="20"/>
                <w:szCs w:val="20"/>
              </w:rPr>
              <w:fldChar w:fldCharType="end"/>
            </w:r>
          </w:p>
        </w:tc>
      </w:tr>
    </w:tbl>
    <w:p w:rsidR="0077628A" w:rsidRPr="00A34E3A" w:rsidRDefault="00A34E3A" w:rsidP="00A34E3A">
      <w:pPr>
        <w:widowControl/>
        <w:spacing w:line="260" w:lineRule="exact"/>
        <w:jc w:val="left"/>
        <w:rPr>
          <w:rFonts w:ascii="Times New Roman" w:hAnsi="Times New Roman" w:cs="Times New Roman"/>
          <w:color w:val="000000"/>
          <w:sz w:val="20"/>
          <w:szCs w:val="20"/>
        </w:rPr>
      </w:pPr>
      <w:r w:rsidRPr="00A34E3A">
        <w:rPr>
          <w:rFonts w:ascii="Times New Roman" w:hAnsi="Times New Roman" w:cs="Times New Roman"/>
          <w:sz w:val="20"/>
          <w:szCs w:val="20"/>
        </w:rPr>
        <w:t xml:space="preserve">*.  For datasets used for </w:t>
      </w:r>
      <w:r w:rsidR="007739BA" w:rsidRPr="007739BA">
        <w:rPr>
          <w:rFonts w:ascii="Times New Roman" w:hAnsi="Times New Roman" w:cs="Times New Roman"/>
          <w:color w:val="000000"/>
          <w:sz w:val="20"/>
          <w:szCs w:val="20"/>
        </w:rPr>
        <w:t xml:space="preserve">neoadjuvant response </w:t>
      </w:r>
      <w:r w:rsidRPr="00A34E3A">
        <w:rPr>
          <w:rFonts w:ascii="Times New Roman" w:hAnsi="Times New Roman" w:cs="Times New Roman"/>
          <w:color w:val="000000"/>
          <w:sz w:val="20"/>
          <w:szCs w:val="20"/>
        </w:rPr>
        <w:t>analysis, o</w:t>
      </w:r>
      <w:r w:rsidR="0077628A" w:rsidRPr="00A34E3A">
        <w:rPr>
          <w:rFonts w:ascii="Times New Roman" w:hAnsi="Times New Roman" w:cs="Times New Roman"/>
          <w:color w:val="000000"/>
          <w:sz w:val="20"/>
          <w:szCs w:val="20"/>
        </w:rPr>
        <w:t xml:space="preserve">nly samples </w:t>
      </w:r>
      <w:r w:rsidR="007739BA" w:rsidRPr="007739BA">
        <w:rPr>
          <w:rFonts w:ascii="Times New Roman" w:hAnsi="Times New Roman" w:cs="Times New Roman"/>
          <w:color w:val="000000"/>
          <w:sz w:val="20"/>
          <w:szCs w:val="20"/>
        </w:rPr>
        <w:t>annotated with patient’s neoadjuvant response information</w:t>
      </w:r>
      <w:r w:rsidR="007739BA">
        <w:rPr>
          <w:rFonts w:ascii="Times New Roman" w:hAnsi="Times New Roman" w:cs="Times New Roman"/>
          <w:color w:val="000000"/>
          <w:sz w:val="20"/>
          <w:szCs w:val="20"/>
        </w:rPr>
        <w:t xml:space="preserve"> </w:t>
      </w:r>
      <w:r w:rsidR="0077628A" w:rsidRPr="00A34E3A">
        <w:rPr>
          <w:rFonts w:ascii="Times New Roman" w:hAnsi="Times New Roman" w:cs="Times New Roman"/>
          <w:color w:val="000000"/>
          <w:sz w:val="20"/>
          <w:szCs w:val="20"/>
        </w:rPr>
        <w:t>were counted in this table.</w:t>
      </w:r>
    </w:p>
    <w:p w:rsidR="00A34E3A" w:rsidRPr="00A34E3A" w:rsidRDefault="00A34E3A" w:rsidP="00A34E3A">
      <w:pPr>
        <w:spacing w:line="260" w:lineRule="exact"/>
        <w:jc w:val="left"/>
        <w:rPr>
          <w:rFonts w:ascii="Times New Roman" w:hAnsi="Times New Roman" w:cs="Times New Roman"/>
          <w:sz w:val="20"/>
          <w:szCs w:val="20"/>
        </w:rPr>
      </w:pPr>
      <w:r w:rsidRPr="00A34E3A">
        <w:rPr>
          <w:rFonts w:ascii="Times New Roman" w:hAnsi="Times New Roman" w:cs="Times New Roman"/>
          <w:sz w:val="20"/>
          <w:szCs w:val="20"/>
        </w:rPr>
        <w:t xml:space="preserve">†.  For GSE20271, </w:t>
      </w:r>
      <w:r w:rsidRPr="00A34E3A">
        <w:rPr>
          <w:rFonts w:ascii="Times New Roman" w:hAnsi="Times New Roman" w:cs="Times New Roman"/>
          <w:color w:val="000000"/>
          <w:sz w:val="20"/>
          <w:szCs w:val="20"/>
        </w:rPr>
        <w:t>A - based</w:t>
      </w:r>
      <w:r w:rsidRPr="00A34E3A">
        <w:rPr>
          <w:rFonts w:ascii="Times New Roman" w:hAnsi="Times New Roman" w:cs="Times New Roman"/>
          <w:sz w:val="20"/>
          <w:szCs w:val="20"/>
        </w:rPr>
        <w:t xml:space="preserve"> treatment was used for part of the patients.</w:t>
      </w:r>
    </w:p>
    <w:p w:rsidR="00ED5750" w:rsidRDefault="00A34E3A" w:rsidP="00A34E3A">
      <w:pPr>
        <w:spacing w:line="260" w:lineRule="exact"/>
        <w:jc w:val="left"/>
        <w:rPr>
          <w:rFonts w:ascii="Times New Roman" w:hAnsi="Times New Roman" w:cs="Times New Roman"/>
          <w:sz w:val="20"/>
          <w:szCs w:val="20"/>
        </w:rPr>
      </w:pPr>
      <w:r w:rsidRPr="00A34E3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34E3A">
        <w:rPr>
          <w:rFonts w:ascii="Times New Roman" w:hAnsi="Times New Roman" w:cs="Times New Roman"/>
          <w:sz w:val="20"/>
          <w:szCs w:val="20"/>
        </w:rPr>
        <w:t>P: positive</w:t>
      </w:r>
      <w:proofErr w:type="gramStart"/>
      <w:r w:rsidRPr="00A34E3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34E3A">
        <w:rPr>
          <w:rFonts w:ascii="Times New Roman" w:hAnsi="Times New Roman" w:cs="Times New Roman"/>
          <w:sz w:val="20"/>
          <w:szCs w:val="20"/>
        </w:rPr>
        <w:t>N</w:t>
      </w:r>
      <w:proofErr w:type="gramEnd"/>
      <w:r w:rsidRPr="00A34E3A">
        <w:rPr>
          <w:rFonts w:ascii="Times New Roman" w:hAnsi="Times New Roman" w:cs="Times New Roman"/>
          <w:sz w:val="20"/>
          <w:szCs w:val="20"/>
        </w:rPr>
        <w:t xml:space="preserve">: negative.  </w:t>
      </w:r>
    </w:p>
    <w:p w:rsidR="00860EFF" w:rsidRDefault="00860EFF" w:rsidP="00A34E3A">
      <w:pPr>
        <w:spacing w:line="260" w:lineRule="exact"/>
        <w:jc w:val="left"/>
        <w:rPr>
          <w:rFonts w:ascii="Times New Roman" w:hAnsi="Times New Roman" w:cs="Times New Roman"/>
          <w:color w:val="000000"/>
          <w:sz w:val="20"/>
          <w:szCs w:val="20"/>
        </w:rPr>
      </w:pPr>
      <w:r w:rsidRPr="00860EFF">
        <w:rPr>
          <w:rFonts w:ascii="Times New Roman" w:hAnsi="Times New Roman" w:cs="Times New Roman" w:hint="eastAsia"/>
          <w:color w:val="000000"/>
          <w:sz w:val="20"/>
          <w:szCs w:val="20"/>
        </w:rPr>
        <w:t>§</w:t>
      </w:r>
      <w:r w:rsidRPr="00860EFF">
        <w:rPr>
          <w:rFonts w:ascii="Times New Roman" w:hAnsi="Times New Roman" w:cs="Times New Roman"/>
          <w:color w:val="000000"/>
          <w:sz w:val="20"/>
          <w:szCs w:val="20"/>
        </w:rPr>
        <w:t xml:space="preserve">. </w:t>
      </w:r>
      <w:r>
        <w:rPr>
          <w:rFonts w:ascii="Times New Roman" w:hAnsi="Times New Roman" w:cs="Times New Roman"/>
          <w:color w:val="000000"/>
          <w:sz w:val="20"/>
          <w:szCs w:val="20"/>
        </w:rPr>
        <w:t xml:space="preserve">The top 30 datasets were used for recurrence risk analysis, and the bottom 15 used for </w:t>
      </w:r>
      <w:proofErr w:type="spellStart"/>
      <w:r>
        <w:rPr>
          <w:rFonts w:ascii="Times New Roman" w:hAnsi="Times New Roman" w:cs="Times New Roman"/>
          <w:color w:val="000000"/>
          <w:sz w:val="20"/>
          <w:szCs w:val="20"/>
        </w:rPr>
        <w:t>pCR</w:t>
      </w:r>
      <w:proofErr w:type="spellEnd"/>
      <w:r>
        <w:rPr>
          <w:rFonts w:ascii="Times New Roman" w:hAnsi="Times New Roman" w:cs="Times New Roman"/>
          <w:color w:val="000000"/>
          <w:sz w:val="20"/>
          <w:szCs w:val="20"/>
        </w:rPr>
        <w:t xml:space="preserve"> analysis. </w:t>
      </w:r>
    </w:p>
    <w:p w:rsidR="001D5C36" w:rsidRDefault="001D5C36" w:rsidP="00A34E3A">
      <w:pPr>
        <w:spacing w:line="260" w:lineRule="exact"/>
        <w:jc w:val="left"/>
        <w:rPr>
          <w:rFonts w:ascii="Times New Roman" w:hAnsi="Times New Roman" w:cs="Times New Roman"/>
          <w:color w:val="000000"/>
          <w:sz w:val="20"/>
          <w:szCs w:val="20"/>
        </w:rPr>
      </w:pPr>
    </w:p>
    <w:p w:rsidR="0024397C" w:rsidRDefault="0024397C">
      <w:pPr>
        <w:widowControl/>
        <w:jc w:val="left"/>
        <w:rPr>
          <w:rFonts w:ascii="Times New Roman" w:hAnsi="Times New Roman" w:cs="Times New Roman"/>
          <w:color w:val="000000"/>
          <w:sz w:val="20"/>
          <w:szCs w:val="20"/>
        </w:rPr>
      </w:pPr>
      <w:r>
        <w:rPr>
          <w:rFonts w:ascii="Times New Roman" w:hAnsi="Times New Roman" w:cs="Times New Roman"/>
          <w:color w:val="000000"/>
          <w:sz w:val="20"/>
          <w:szCs w:val="20"/>
        </w:rPr>
        <w:br w:type="page"/>
      </w:r>
    </w:p>
    <w:p w:rsidR="001D5C36" w:rsidRPr="00DF7F9F" w:rsidRDefault="001D5C36" w:rsidP="001D5C36">
      <w:pPr>
        <w:spacing w:before="156" w:after="156" w:line="480" w:lineRule="auto"/>
        <w:rPr>
          <w:rFonts w:ascii="Calibri" w:hAnsi="Calibri" w:cs="Times New Roman"/>
          <w:b/>
          <w:noProof/>
          <w:sz w:val="22"/>
        </w:rPr>
      </w:pPr>
      <w:r w:rsidRPr="00DF7F9F">
        <w:rPr>
          <w:rFonts w:ascii="Times New Roman" w:eastAsia="宋体" w:hAnsi="Times New Roman" w:cs="Times New Roman"/>
          <w:b/>
          <w:kern w:val="0"/>
          <w:sz w:val="24"/>
          <w:szCs w:val="24"/>
        </w:rPr>
        <w:lastRenderedPageBreak/>
        <w:t>Supplementary</w:t>
      </w:r>
      <w:r w:rsidRPr="00DF7F9F">
        <w:rPr>
          <w:rFonts w:ascii="Times New Roman" w:hAnsi="Times New Roman" w:cs="Times New Roman"/>
          <w:b/>
          <w:bCs/>
          <w:kern w:val="24"/>
          <w:sz w:val="24"/>
          <w:szCs w:val="24"/>
        </w:rPr>
        <w:t xml:space="preserve"> Figure legends</w:t>
      </w:r>
    </w:p>
    <w:p w:rsidR="000538F2" w:rsidRDefault="00A7512F" w:rsidP="000538F2">
      <w:pPr>
        <w:spacing w:after="50" w:line="480" w:lineRule="auto"/>
        <w:rPr>
          <w:rFonts w:ascii="Times New Roman" w:hAnsi="Times New Roman" w:cs="Times New Roman"/>
          <w:kern w:val="0"/>
          <w:sz w:val="24"/>
          <w:szCs w:val="24"/>
        </w:rPr>
      </w:pPr>
      <w:proofErr w:type="gramStart"/>
      <w:r>
        <w:rPr>
          <w:rFonts w:ascii="Times New Roman" w:hAnsi="Times New Roman" w:cs="Times New Roman"/>
          <w:b/>
          <w:bCs/>
          <w:kern w:val="24"/>
          <w:sz w:val="24"/>
          <w:szCs w:val="24"/>
        </w:rPr>
        <w:t xml:space="preserve">Supplementary Fig. </w:t>
      </w:r>
      <w:r w:rsidR="001D5C36" w:rsidRPr="00DF7F9F">
        <w:rPr>
          <w:rFonts w:ascii="Times New Roman" w:hAnsi="Times New Roman" w:cs="Times New Roman"/>
          <w:b/>
          <w:bCs/>
          <w:kern w:val="24"/>
          <w:sz w:val="24"/>
          <w:szCs w:val="24"/>
        </w:rPr>
        <w:t>1.</w:t>
      </w:r>
      <w:proofErr w:type="gramEnd"/>
      <w:r w:rsidR="001D5C36" w:rsidRPr="00DF7F9F">
        <w:rPr>
          <w:rFonts w:ascii="Times New Roman" w:hAnsi="Times New Roman" w:cs="Times New Roman"/>
          <w:b/>
          <w:bCs/>
          <w:kern w:val="24"/>
          <w:sz w:val="24"/>
          <w:szCs w:val="24"/>
        </w:rPr>
        <w:t xml:space="preserve">  </w:t>
      </w:r>
      <w:r w:rsidR="000538F2" w:rsidRPr="000538F2">
        <w:rPr>
          <w:rFonts w:ascii="Times New Roman" w:hAnsi="Times New Roman" w:cs="Times New Roman"/>
          <w:b/>
          <w:bCs/>
          <w:kern w:val="24"/>
          <w:sz w:val="24"/>
          <w:szCs w:val="24"/>
        </w:rPr>
        <w:t>Associations of ALK pathway signature score with clinical characteristics in four merged breast cancer cohorts.</w:t>
      </w:r>
      <w:r w:rsidR="000538F2">
        <w:rPr>
          <w:rFonts w:ascii="Times New Roman" w:hAnsi="Times New Roman" w:cs="Times New Roman" w:hint="eastAsia"/>
          <w:b/>
          <w:bCs/>
          <w:kern w:val="24"/>
          <w:sz w:val="24"/>
          <w:szCs w:val="24"/>
        </w:rPr>
        <w:t xml:space="preserve">  </w:t>
      </w:r>
      <w:r w:rsidR="000538F2" w:rsidRPr="00A15D4A">
        <w:rPr>
          <w:rFonts w:ascii="Times New Roman" w:eastAsia="宋体" w:hAnsi="Times New Roman" w:cs="Times New Roman"/>
          <w:b/>
          <w:bCs/>
          <w:kern w:val="0"/>
          <w:sz w:val="24"/>
          <w:szCs w:val="24"/>
        </w:rPr>
        <w:t xml:space="preserve">A) </w:t>
      </w:r>
      <w:r w:rsidR="000538F2" w:rsidRPr="00A15D4A">
        <w:rPr>
          <w:rFonts w:ascii="Times New Roman" w:eastAsia="宋体" w:hAnsi="Times New Roman" w:cs="Times New Roman"/>
          <w:bCs/>
          <w:kern w:val="0"/>
          <w:sz w:val="24"/>
          <w:szCs w:val="24"/>
        </w:rPr>
        <w:t xml:space="preserve">ER status (ER positive as event and ER negative as non-event);  </w:t>
      </w:r>
      <w:r w:rsidR="000538F2" w:rsidRPr="00A15D4A">
        <w:rPr>
          <w:rFonts w:ascii="Times New Roman" w:eastAsia="宋体" w:hAnsi="Times New Roman" w:cs="Times New Roman"/>
          <w:b/>
          <w:bCs/>
          <w:kern w:val="0"/>
          <w:sz w:val="24"/>
          <w:szCs w:val="24"/>
        </w:rPr>
        <w:t xml:space="preserve">B) </w:t>
      </w:r>
      <w:r w:rsidR="000538F2" w:rsidRPr="00A15D4A">
        <w:rPr>
          <w:rFonts w:ascii="Times New Roman" w:eastAsia="宋体" w:hAnsi="Times New Roman" w:cs="Times New Roman"/>
          <w:bCs/>
          <w:kern w:val="0"/>
          <w:sz w:val="24"/>
          <w:szCs w:val="24"/>
        </w:rPr>
        <w:t xml:space="preserve">PR status (PR positive as event and PR negative as non-event);  </w:t>
      </w:r>
      <w:r w:rsidR="000538F2" w:rsidRPr="00A15D4A">
        <w:rPr>
          <w:rFonts w:ascii="Times New Roman" w:eastAsia="宋体" w:hAnsi="Times New Roman" w:cs="Times New Roman"/>
          <w:b/>
          <w:bCs/>
          <w:kern w:val="0"/>
          <w:sz w:val="24"/>
          <w:szCs w:val="24"/>
        </w:rPr>
        <w:t xml:space="preserve">C) </w:t>
      </w:r>
      <w:r w:rsidR="00407D33" w:rsidRPr="00A15D4A">
        <w:rPr>
          <w:rFonts w:ascii="Times New Roman" w:eastAsia="宋体" w:hAnsi="Times New Roman" w:cs="Times New Roman"/>
          <w:bCs/>
          <w:kern w:val="0"/>
          <w:sz w:val="24"/>
          <w:szCs w:val="24"/>
        </w:rPr>
        <w:t>HER2 status (HER2 positive as event and HER2 negative as non-event);</w:t>
      </w:r>
      <w:r w:rsidR="000538F2" w:rsidRPr="00A15D4A">
        <w:rPr>
          <w:rFonts w:ascii="Times New Roman" w:eastAsia="宋体" w:hAnsi="Times New Roman" w:cs="Times New Roman"/>
          <w:b/>
          <w:bCs/>
          <w:kern w:val="0"/>
          <w:sz w:val="24"/>
          <w:szCs w:val="24"/>
        </w:rPr>
        <w:t xml:space="preserve">   </w:t>
      </w:r>
      <w:r w:rsidR="00407D33">
        <w:rPr>
          <w:rFonts w:ascii="Times New Roman" w:eastAsia="宋体" w:hAnsi="Times New Roman" w:cs="Times New Roman" w:hint="eastAsia"/>
          <w:b/>
          <w:bCs/>
          <w:kern w:val="0"/>
          <w:sz w:val="24"/>
          <w:szCs w:val="24"/>
        </w:rPr>
        <w:t>D</w:t>
      </w:r>
      <w:r w:rsidR="00407D33" w:rsidRPr="00A15D4A">
        <w:rPr>
          <w:rFonts w:ascii="Times New Roman" w:eastAsia="宋体" w:hAnsi="Times New Roman" w:cs="Times New Roman"/>
          <w:b/>
          <w:bCs/>
          <w:kern w:val="0"/>
          <w:sz w:val="24"/>
          <w:szCs w:val="24"/>
        </w:rPr>
        <w:t xml:space="preserve">) </w:t>
      </w:r>
      <w:r w:rsidR="00407D33" w:rsidRPr="00A15D4A">
        <w:rPr>
          <w:rFonts w:ascii="Times New Roman" w:eastAsia="宋体" w:hAnsi="Times New Roman" w:cs="Times New Roman"/>
          <w:bCs/>
          <w:kern w:val="0"/>
          <w:sz w:val="24"/>
          <w:szCs w:val="24"/>
        </w:rPr>
        <w:t xml:space="preserve">Patient age (&gt;50 as event and ≤50 as non-event);  </w:t>
      </w:r>
      <w:r w:rsidR="00407D33">
        <w:rPr>
          <w:rFonts w:ascii="Times New Roman" w:eastAsia="宋体" w:hAnsi="Times New Roman" w:cs="Times New Roman" w:hint="eastAsia"/>
          <w:b/>
          <w:bCs/>
          <w:kern w:val="0"/>
          <w:sz w:val="24"/>
          <w:szCs w:val="24"/>
        </w:rPr>
        <w:t>E</w:t>
      </w:r>
      <w:r w:rsidR="00407D33" w:rsidRPr="00A15D4A">
        <w:rPr>
          <w:rFonts w:ascii="Times New Roman" w:eastAsia="宋体" w:hAnsi="Times New Roman" w:cs="Times New Roman"/>
          <w:b/>
          <w:bCs/>
          <w:kern w:val="0"/>
          <w:sz w:val="24"/>
          <w:szCs w:val="24"/>
        </w:rPr>
        <w:t>)</w:t>
      </w:r>
      <w:r w:rsidR="00407D33" w:rsidRPr="00407D33">
        <w:rPr>
          <w:rFonts w:ascii="Times New Roman" w:eastAsia="宋体" w:hAnsi="Times New Roman" w:cs="Times New Roman"/>
          <w:bCs/>
          <w:kern w:val="0"/>
          <w:sz w:val="24"/>
          <w:szCs w:val="24"/>
        </w:rPr>
        <w:t xml:space="preserve"> </w:t>
      </w:r>
      <w:r w:rsidR="00407D33" w:rsidRPr="00A15D4A">
        <w:rPr>
          <w:rFonts w:ascii="Times New Roman" w:eastAsia="宋体" w:hAnsi="Times New Roman" w:cs="Times New Roman"/>
          <w:bCs/>
          <w:kern w:val="0"/>
          <w:sz w:val="24"/>
          <w:szCs w:val="24"/>
        </w:rPr>
        <w:t>Tumor grade (grade 3 as event and grade 1&amp;2 as non-event)</w:t>
      </w:r>
      <w:r w:rsidR="00407D33" w:rsidRPr="00A15D4A">
        <w:rPr>
          <w:rFonts w:ascii="Times New Roman" w:eastAsia="宋体" w:hAnsi="Times New Roman" w:cs="Times New Roman"/>
          <w:b/>
          <w:bCs/>
          <w:kern w:val="0"/>
          <w:sz w:val="24"/>
          <w:szCs w:val="24"/>
        </w:rPr>
        <w:t>.</w:t>
      </w:r>
      <w:r w:rsidR="00407D33" w:rsidRPr="00A15D4A">
        <w:rPr>
          <w:rFonts w:ascii="Times New Roman" w:eastAsia="宋体" w:hAnsi="Times New Roman" w:cs="Times New Roman"/>
          <w:bCs/>
          <w:kern w:val="0"/>
          <w:sz w:val="24"/>
          <w:szCs w:val="24"/>
        </w:rPr>
        <w:t xml:space="preserve">  </w:t>
      </w:r>
      <w:r w:rsidR="00407D33">
        <w:rPr>
          <w:rFonts w:ascii="Times New Roman" w:eastAsia="宋体" w:hAnsi="Times New Roman" w:cs="Times New Roman" w:hint="eastAsia"/>
          <w:b/>
          <w:bCs/>
          <w:kern w:val="0"/>
          <w:sz w:val="24"/>
          <w:szCs w:val="24"/>
        </w:rPr>
        <w:t>F</w:t>
      </w:r>
      <w:r w:rsidR="00407D33" w:rsidRPr="00A15D4A">
        <w:rPr>
          <w:rFonts w:ascii="Times New Roman" w:eastAsia="宋体" w:hAnsi="Times New Roman" w:cs="Times New Roman"/>
          <w:b/>
          <w:bCs/>
          <w:kern w:val="0"/>
          <w:sz w:val="24"/>
          <w:szCs w:val="24"/>
        </w:rPr>
        <w:t xml:space="preserve">) </w:t>
      </w:r>
      <w:r w:rsidR="00407D33" w:rsidRPr="00A15D4A">
        <w:rPr>
          <w:rFonts w:ascii="Times New Roman" w:eastAsia="宋体" w:hAnsi="Times New Roman" w:cs="Times New Roman"/>
          <w:bCs/>
          <w:kern w:val="0"/>
          <w:sz w:val="24"/>
          <w:szCs w:val="24"/>
        </w:rPr>
        <w:t>Lymph node status (node positive as event and node negative as non-event);</w:t>
      </w:r>
      <w:r w:rsidR="00407D33">
        <w:rPr>
          <w:rFonts w:ascii="Times New Roman" w:eastAsia="宋体" w:hAnsi="Times New Roman" w:cs="Times New Roman"/>
          <w:b/>
          <w:bCs/>
          <w:kern w:val="0"/>
          <w:sz w:val="24"/>
          <w:szCs w:val="24"/>
        </w:rPr>
        <w:t xml:space="preserve"> </w:t>
      </w:r>
      <w:r w:rsidR="00407D33">
        <w:rPr>
          <w:rFonts w:ascii="Times New Roman" w:eastAsia="宋体" w:hAnsi="Times New Roman" w:cs="Times New Roman" w:hint="eastAsia"/>
          <w:b/>
          <w:bCs/>
          <w:kern w:val="0"/>
          <w:sz w:val="24"/>
          <w:szCs w:val="24"/>
        </w:rPr>
        <w:t>G</w:t>
      </w:r>
      <w:r w:rsidR="00407D33" w:rsidRPr="00A15D4A">
        <w:rPr>
          <w:rFonts w:ascii="Times New Roman" w:eastAsia="宋体" w:hAnsi="Times New Roman" w:cs="Times New Roman"/>
          <w:b/>
          <w:bCs/>
          <w:kern w:val="0"/>
          <w:sz w:val="24"/>
          <w:szCs w:val="24"/>
        </w:rPr>
        <w:t xml:space="preserve">) </w:t>
      </w:r>
      <w:r w:rsidR="00407D33" w:rsidRPr="00A15D4A">
        <w:rPr>
          <w:rFonts w:ascii="Times New Roman" w:eastAsia="宋体" w:hAnsi="Times New Roman" w:cs="Times New Roman"/>
          <w:bCs/>
          <w:kern w:val="0"/>
          <w:sz w:val="24"/>
          <w:szCs w:val="24"/>
        </w:rPr>
        <w:t>Tumor size (&gt;2cm as event and ≤20 as non-event)</w:t>
      </w:r>
      <w:r w:rsidR="00407D33" w:rsidRPr="00A15D4A">
        <w:rPr>
          <w:rFonts w:ascii="Times New Roman" w:eastAsia="宋体" w:hAnsi="Times New Roman" w:cs="Times New Roman"/>
          <w:b/>
          <w:bCs/>
          <w:kern w:val="0"/>
          <w:sz w:val="24"/>
          <w:szCs w:val="24"/>
        </w:rPr>
        <w:t>.</w:t>
      </w:r>
      <w:r w:rsidR="00407D33">
        <w:rPr>
          <w:rFonts w:ascii="Times New Roman" w:eastAsia="宋体" w:hAnsi="Times New Roman" w:cs="Times New Roman" w:hint="eastAsia"/>
          <w:b/>
          <w:bCs/>
          <w:kern w:val="0"/>
          <w:sz w:val="24"/>
          <w:szCs w:val="24"/>
        </w:rPr>
        <w:t xml:space="preserve">  </w:t>
      </w:r>
      <w:r w:rsidR="00407D33" w:rsidRPr="00407D33">
        <w:rPr>
          <w:rFonts w:ascii="Times New Roman" w:hAnsi="Times New Roman" w:cs="Times New Roman"/>
          <w:kern w:val="0"/>
          <w:sz w:val="24"/>
          <w:szCs w:val="24"/>
        </w:rPr>
        <w:t xml:space="preserve">ALK pathway signature score (used as continuous variable) was analyzed using univariate logistic regression.  </w:t>
      </w:r>
      <w:r w:rsidR="000538F2" w:rsidRPr="00A15D4A">
        <w:rPr>
          <w:rFonts w:ascii="Times New Roman" w:hAnsi="Times New Roman" w:cs="Times New Roman"/>
          <w:kern w:val="0"/>
          <w:sz w:val="24"/>
          <w:szCs w:val="24"/>
        </w:rPr>
        <w:t xml:space="preserve">The </w:t>
      </w:r>
      <w:r w:rsidR="000538F2" w:rsidRPr="002115BA">
        <w:rPr>
          <w:rFonts w:ascii="Times New Roman" w:hAnsi="Times New Roman" w:cs="Times New Roman"/>
          <w:kern w:val="0"/>
          <w:sz w:val="24"/>
          <w:szCs w:val="24"/>
        </w:rPr>
        <w:t>four</w:t>
      </w:r>
      <w:r w:rsidR="000538F2" w:rsidRPr="00A15D4A">
        <w:rPr>
          <w:rFonts w:ascii="Times New Roman" w:hAnsi="Times New Roman" w:cs="Times New Roman"/>
          <w:kern w:val="0"/>
          <w:sz w:val="24"/>
          <w:szCs w:val="24"/>
        </w:rPr>
        <w:t xml:space="preserve"> cohorts were merged from the 42 individual breast cancer datasets as described in Material and Methods.   The </w:t>
      </w:r>
      <w:r w:rsidR="00407D33">
        <w:rPr>
          <w:rFonts w:ascii="Times New Roman" w:hAnsi="Times New Roman" w:cs="Times New Roman" w:hint="eastAsia"/>
          <w:kern w:val="0"/>
          <w:sz w:val="24"/>
          <w:szCs w:val="24"/>
        </w:rPr>
        <w:t xml:space="preserve">sample from </w:t>
      </w:r>
      <w:r w:rsidR="000538F2">
        <w:rPr>
          <w:rFonts w:ascii="Times New Roman" w:hAnsi="Times New Roman" w:cs="Times New Roman" w:hint="eastAsia"/>
          <w:kern w:val="0"/>
          <w:sz w:val="24"/>
          <w:szCs w:val="24"/>
        </w:rPr>
        <w:t>three</w:t>
      </w:r>
      <w:r w:rsidR="000538F2" w:rsidRPr="00A15D4A">
        <w:rPr>
          <w:rFonts w:ascii="Times New Roman" w:hAnsi="Times New Roman" w:cs="Times New Roman"/>
          <w:kern w:val="0"/>
          <w:sz w:val="24"/>
          <w:szCs w:val="24"/>
        </w:rPr>
        <w:t xml:space="preserve"> datasets (GSE16446, GSE25055 and GSE25065) that were present in both cohort 1 and cohort 4 were removed from cohort 1 in </w:t>
      </w:r>
      <w:r w:rsidR="007739BA" w:rsidRPr="007739BA">
        <w:rPr>
          <w:rFonts w:ascii="Times New Roman" w:hAnsi="Times New Roman" w:cs="Times New Roman"/>
          <w:kern w:val="0"/>
          <w:sz w:val="24"/>
          <w:szCs w:val="24"/>
        </w:rPr>
        <w:t xml:space="preserve">univariate </w:t>
      </w:r>
      <w:r w:rsidR="000538F2" w:rsidRPr="00A15D4A">
        <w:rPr>
          <w:rFonts w:ascii="Times New Roman" w:hAnsi="Times New Roman" w:cs="Times New Roman"/>
          <w:kern w:val="0"/>
          <w:sz w:val="24"/>
          <w:szCs w:val="24"/>
        </w:rPr>
        <w:t>regression analysis.</w:t>
      </w:r>
      <w:r w:rsidR="000538F2">
        <w:rPr>
          <w:rFonts w:ascii="Times New Roman" w:hAnsi="Times New Roman" w:cs="Times New Roman" w:hint="eastAsia"/>
          <w:kern w:val="0"/>
          <w:sz w:val="24"/>
          <w:szCs w:val="24"/>
        </w:rPr>
        <w:t xml:space="preserve"> </w:t>
      </w:r>
    </w:p>
    <w:p w:rsidR="00407D33" w:rsidRDefault="00407D33">
      <w:pPr>
        <w:widowControl/>
        <w:jc w:val="left"/>
        <w:rPr>
          <w:rFonts w:ascii="Times New Roman" w:hAnsi="Times New Roman" w:cs="Times New Roman"/>
          <w:kern w:val="0"/>
          <w:sz w:val="24"/>
          <w:szCs w:val="24"/>
        </w:rPr>
      </w:pPr>
      <w:r>
        <w:rPr>
          <w:rFonts w:ascii="Times New Roman" w:hAnsi="Times New Roman" w:cs="Times New Roman"/>
          <w:kern w:val="0"/>
          <w:sz w:val="24"/>
          <w:szCs w:val="24"/>
        </w:rPr>
        <w:br w:type="page"/>
      </w:r>
    </w:p>
    <w:p w:rsidR="00407D33" w:rsidRPr="001D5C36" w:rsidRDefault="00407D33" w:rsidP="000538F2">
      <w:pPr>
        <w:spacing w:after="50" w:line="480" w:lineRule="auto"/>
        <w:rPr>
          <w:rFonts w:ascii="Times New Roman" w:hAnsi="Times New Roman" w:cs="Times New Roman"/>
          <w:color w:val="000000"/>
          <w:sz w:val="20"/>
          <w:szCs w:val="20"/>
        </w:rPr>
      </w:pPr>
      <w:r>
        <w:rPr>
          <w:rFonts w:ascii="Times New Roman" w:hAnsi="Times New Roman" w:cs="Times New Roman"/>
          <w:noProof/>
          <w:color w:val="000000"/>
          <w:sz w:val="20"/>
          <w:szCs w:val="20"/>
        </w:rPr>
        <w:lastRenderedPageBreak/>
        <w:drawing>
          <wp:inline distT="0" distB="0" distL="0" distR="0">
            <wp:extent cx="6047740" cy="57988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S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47740" cy="5798820"/>
                    </a:xfrm>
                    <a:prstGeom prst="rect">
                      <a:avLst/>
                    </a:prstGeom>
                  </pic:spPr>
                </pic:pic>
              </a:graphicData>
            </a:graphic>
          </wp:inline>
        </w:drawing>
      </w:r>
    </w:p>
    <w:p w:rsidR="00F051C4" w:rsidRDefault="00A7512F" w:rsidP="00A7512F">
      <w:pPr>
        <w:spacing w:line="480" w:lineRule="auto"/>
        <w:ind w:firstLineChars="1800" w:firstLine="3614"/>
        <w:jc w:val="left"/>
        <w:rPr>
          <w:rFonts w:ascii="Times New Roman" w:hAnsi="Times New Roman" w:cs="Times New Roman" w:hint="eastAsia"/>
          <w:b/>
          <w:color w:val="000000"/>
          <w:sz w:val="20"/>
          <w:szCs w:val="20"/>
        </w:rPr>
      </w:pPr>
      <w:r w:rsidRPr="00A7512F">
        <w:rPr>
          <w:rFonts w:ascii="Times New Roman" w:hAnsi="Times New Roman" w:cs="Times New Roman"/>
          <w:b/>
          <w:color w:val="000000"/>
          <w:sz w:val="20"/>
          <w:szCs w:val="20"/>
        </w:rPr>
        <w:t>Supplementary Fig. 1</w:t>
      </w:r>
    </w:p>
    <w:p w:rsidR="00A7512F" w:rsidRDefault="00A7512F">
      <w:pPr>
        <w:widowControl/>
        <w:jc w:val="left"/>
        <w:rPr>
          <w:b/>
          <w:color w:val="000000"/>
          <w:sz w:val="20"/>
          <w:szCs w:val="20"/>
        </w:rPr>
      </w:pPr>
      <w:r>
        <w:rPr>
          <w:b/>
          <w:color w:val="000000"/>
          <w:sz w:val="20"/>
          <w:szCs w:val="20"/>
        </w:rPr>
        <w:br w:type="page"/>
      </w:r>
    </w:p>
    <w:p w:rsidR="00A7512F" w:rsidRPr="00A7512F" w:rsidRDefault="00A7512F" w:rsidP="00A7512F">
      <w:pPr>
        <w:pStyle w:val="Bibliography"/>
        <w:rPr>
          <w:rFonts w:ascii="Times New Roman" w:hAnsi="Times New Roman" w:cs="Times New Roman"/>
          <w:b/>
          <w:color w:val="000000"/>
          <w:sz w:val="24"/>
          <w:szCs w:val="24"/>
        </w:rPr>
      </w:pPr>
      <w:r w:rsidRPr="00A7512F">
        <w:rPr>
          <w:rFonts w:ascii="Times New Roman" w:hAnsi="Times New Roman" w:cs="Times New Roman"/>
          <w:b/>
          <w:color w:val="000000"/>
          <w:sz w:val="24"/>
          <w:szCs w:val="24"/>
        </w:rPr>
        <w:lastRenderedPageBreak/>
        <w:t>Reference</w:t>
      </w:r>
      <w:bookmarkStart w:id="0" w:name="_GoBack"/>
      <w:bookmarkEnd w:id="0"/>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b/>
          <w:color w:val="000000"/>
          <w:sz w:val="24"/>
          <w:szCs w:val="24"/>
        </w:rPr>
        <w:fldChar w:fldCharType="begin"/>
      </w:r>
      <w:r w:rsidRPr="00A7512F">
        <w:rPr>
          <w:rFonts w:ascii="Times New Roman" w:hAnsi="Times New Roman" w:cs="Times New Roman"/>
          <w:b/>
          <w:color w:val="000000"/>
          <w:sz w:val="24"/>
          <w:szCs w:val="24"/>
        </w:rPr>
        <w:instrText xml:space="preserve"> ADDIN ZOTERO_BIBL {"uncited":[],"omitted":[],"custom":[]} CSL_BIBLIOGRAPHY </w:instrText>
      </w:r>
      <w:r w:rsidRPr="00A7512F">
        <w:rPr>
          <w:rFonts w:ascii="Times New Roman" w:hAnsi="Times New Roman" w:cs="Times New Roman"/>
          <w:b/>
          <w:color w:val="000000"/>
          <w:sz w:val="24"/>
          <w:szCs w:val="24"/>
        </w:rPr>
        <w:fldChar w:fldCharType="separate"/>
      </w:r>
      <w:r w:rsidRPr="00A7512F">
        <w:rPr>
          <w:rFonts w:ascii="Times New Roman" w:hAnsi="Times New Roman" w:cs="Times New Roman"/>
          <w:sz w:val="24"/>
          <w:szCs w:val="24"/>
        </w:rPr>
        <w:t xml:space="preserve">1. </w:t>
      </w:r>
      <w:r w:rsidRPr="00A7512F">
        <w:rPr>
          <w:rFonts w:ascii="Times New Roman" w:hAnsi="Times New Roman" w:cs="Times New Roman"/>
          <w:sz w:val="24"/>
          <w:szCs w:val="24"/>
        </w:rPr>
        <w:tab/>
        <w:t xml:space="preserve">Schmidt M, </w:t>
      </w:r>
      <w:proofErr w:type="spellStart"/>
      <w:r w:rsidRPr="00A7512F">
        <w:rPr>
          <w:rFonts w:ascii="Times New Roman" w:hAnsi="Times New Roman" w:cs="Times New Roman"/>
          <w:sz w:val="24"/>
          <w:szCs w:val="24"/>
        </w:rPr>
        <w:t>Böhm</w:t>
      </w:r>
      <w:proofErr w:type="spellEnd"/>
      <w:r w:rsidRPr="00A7512F">
        <w:rPr>
          <w:rFonts w:ascii="Times New Roman" w:hAnsi="Times New Roman" w:cs="Times New Roman"/>
          <w:sz w:val="24"/>
          <w:szCs w:val="24"/>
        </w:rPr>
        <w:t xml:space="preserve"> D, von </w:t>
      </w:r>
      <w:proofErr w:type="spellStart"/>
      <w:r w:rsidRPr="00A7512F">
        <w:rPr>
          <w:rFonts w:ascii="Times New Roman" w:hAnsi="Times New Roman" w:cs="Times New Roman"/>
          <w:sz w:val="24"/>
          <w:szCs w:val="24"/>
        </w:rPr>
        <w:t>Törne</w:t>
      </w:r>
      <w:proofErr w:type="spellEnd"/>
      <w:r w:rsidRPr="00A7512F">
        <w:rPr>
          <w:rFonts w:ascii="Times New Roman" w:hAnsi="Times New Roman" w:cs="Times New Roman"/>
          <w:sz w:val="24"/>
          <w:szCs w:val="24"/>
        </w:rPr>
        <w:t xml:space="preserve"> C, Steiner E, </w:t>
      </w:r>
      <w:proofErr w:type="spellStart"/>
      <w:r w:rsidRPr="00A7512F">
        <w:rPr>
          <w:rFonts w:ascii="Times New Roman" w:hAnsi="Times New Roman" w:cs="Times New Roman"/>
          <w:sz w:val="24"/>
          <w:szCs w:val="24"/>
        </w:rPr>
        <w:t>Puhl</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Pilch</w:t>
      </w:r>
      <w:proofErr w:type="spellEnd"/>
      <w:r w:rsidRPr="00A7512F">
        <w:rPr>
          <w:rFonts w:ascii="Times New Roman" w:hAnsi="Times New Roman" w:cs="Times New Roman"/>
          <w:sz w:val="24"/>
          <w:szCs w:val="24"/>
        </w:rPr>
        <w:t xml:space="preserve"> H, et al. The humoral immune system has a key prognostic impact in node-negative breast cancer. Cancer Res. 2008</w:t>
      </w:r>
      <w:proofErr w:type="gramStart"/>
      <w:r w:rsidRPr="00A7512F">
        <w:rPr>
          <w:rFonts w:ascii="Times New Roman" w:hAnsi="Times New Roman" w:cs="Times New Roman"/>
          <w:sz w:val="24"/>
          <w:szCs w:val="24"/>
        </w:rPr>
        <w:t>;68:5405</w:t>
      </w:r>
      <w:proofErr w:type="gramEnd"/>
      <w:r w:rsidRPr="00A7512F">
        <w:rPr>
          <w:rFonts w:ascii="Times New Roman" w:hAnsi="Times New Roman" w:cs="Times New Roman"/>
          <w:sz w:val="24"/>
          <w:szCs w:val="24"/>
        </w:rPr>
        <w:t xml:space="preserve">–13.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 </w:t>
      </w:r>
      <w:r w:rsidRPr="00A7512F">
        <w:rPr>
          <w:rFonts w:ascii="Times New Roman" w:hAnsi="Times New Roman" w:cs="Times New Roman"/>
          <w:sz w:val="24"/>
          <w:szCs w:val="24"/>
        </w:rPr>
        <w:tab/>
        <w:t xml:space="preserve">Zhang Y, </w:t>
      </w:r>
      <w:proofErr w:type="spellStart"/>
      <w:r w:rsidRPr="00A7512F">
        <w:rPr>
          <w:rFonts w:ascii="Times New Roman" w:hAnsi="Times New Roman" w:cs="Times New Roman"/>
          <w:sz w:val="24"/>
          <w:szCs w:val="24"/>
        </w:rPr>
        <w:t>Sieuwerts</w:t>
      </w:r>
      <w:proofErr w:type="spellEnd"/>
      <w:r w:rsidRPr="00A7512F">
        <w:rPr>
          <w:rFonts w:ascii="Times New Roman" w:hAnsi="Times New Roman" w:cs="Times New Roman"/>
          <w:sz w:val="24"/>
          <w:szCs w:val="24"/>
        </w:rPr>
        <w:t xml:space="preserve"> AM, McGreevy M, Casey G, </w:t>
      </w:r>
      <w:proofErr w:type="spellStart"/>
      <w:r w:rsidRPr="00A7512F">
        <w:rPr>
          <w:rFonts w:ascii="Times New Roman" w:hAnsi="Times New Roman" w:cs="Times New Roman"/>
          <w:sz w:val="24"/>
          <w:szCs w:val="24"/>
        </w:rPr>
        <w:t>Cufer</w:t>
      </w:r>
      <w:proofErr w:type="spellEnd"/>
      <w:r w:rsidRPr="00A7512F">
        <w:rPr>
          <w:rFonts w:ascii="Times New Roman" w:hAnsi="Times New Roman" w:cs="Times New Roman"/>
          <w:sz w:val="24"/>
          <w:szCs w:val="24"/>
        </w:rPr>
        <w:t xml:space="preserve"> T, Paradiso A, et al. The 76-gene signature defines high-risk patients that benefit from adjuvant tamoxifen therapy. Breast Cancer Res Treat. 2009</w:t>
      </w:r>
      <w:proofErr w:type="gramStart"/>
      <w:r w:rsidRPr="00A7512F">
        <w:rPr>
          <w:rFonts w:ascii="Times New Roman" w:hAnsi="Times New Roman" w:cs="Times New Roman"/>
          <w:sz w:val="24"/>
          <w:szCs w:val="24"/>
        </w:rPr>
        <w:t>;116:303</w:t>
      </w:r>
      <w:proofErr w:type="gramEnd"/>
      <w:r w:rsidRPr="00A7512F">
        <w:rPr>
          <w:rFonts w:ascii="Times New Roman" w:hAnsi="Times New Roman" w:cs="Times New Roman"/>
          <w:sz w:val="24"/>
          <w:szCs w:val="24"/>
        </w:rPr>
        <w:t xml:space="preserve">–9.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Bos</w:t>
      </w:r>
      <w:proofErr w:type="spellEnd"/>
      <w:r w:rsidRPr="00A7512F">
        <w:rPr>
          <w:rFonts w:ascii="Times New Roman" w:hAnsi="Times New Roman" w:cs="Times New Roman"/>
          <w:sz w:val="24"/>
          <w:szCs w:val="24"/>
        </w:rPr>
        <w:t xml:space="preserve"> PD, Zhang XH-F, Nadal C, Shu W, </w:t>
      </w:r>
      <w:proofErr w:type="spellStart"/>
      <w:r w:rsidRPr="00A7512F">
        <w:rPr>
          <w:rFonts w:ascii="Times New Roman" w:hAnsi="Times New Roman" w:cs="Times New Roman"/>
          <w:sz w:val="24"/>
          <w:szCs w:val="24"/>
        </w:rPr>
        <w:t>Gomis</w:t>
      </w:r>
      <w:proofErr w:type="spellEnd"/>
      <w:r w:rsidRPr="00A7512F">
        <w:rPr>
          <w:rFonts w:ascii="Times New Roman" w:hAnsi="Times New Roman" w:cs="Times New Roman"/>
          <w:sz w:val="24"/>
          <w:szCs w:val="24"/>
        </w:rPr>
        <w:t xml:space="preserve"> RR, Nguyen DX, et al. Genes that mediate breast cancer metastasis to the brain. </w:t>
      </w:r>
      <w:proofErr w:type="gramStart"/>
      <w:r w:rsidRPr="00A7512F">
        <w:rPr>
          <w:rFonts w:ascii="Times New Roman" w:hAnsi="Times New Roman" w:cs="Times New Roman"/>
          <w:sz w:val="24"/>
          <w:szCs w:val="24"/>
        </w:rPr>
        <w:t>Nature.</w:t>
      </w:r>
      <w:proofErr w:type="gramEnd"/>
      <w:r w:rsidRPr="00A7512F">
        <w:rPr>
          <w:rFonts w:ascii="Times New Roman" w:hAnsi="Times New Roman" w:cs="Times New Roman"/>
          <w:sz w:val="24"/>
          <w:szCs w:val="24"/>
        </w:rPr>
        <w:t xml:space="preserve"> 2009</w:t>
      </w:r>
      <w:proofErr w:type="gramStart"/>
      <w:r w:rsidRPr="00A7512F">
        <w:rPr>
          <w:rFonts w:ascii="Times New Roman" w:hAnsi="Times New Roman" w:cs="Times New Roman"/>
          <w:sz w:val="24"/>
          <w:szCs w:val="24"/>
        </w:rPr>
        <w:t>;459:1005</w:t>
      </w:r>
      <w:proofErr w:type="gramEnd"/>
      <w:r w:rsidRPr="00A7512F">
        <w:rPr>
          <w:rFonts w:ascii="Times New Roman" w:hAnsi="Times New Roman" w:cs="Times New Roman"/>
          <w:sz w:val="24"/>
          <w:szCs w:val="24"/>
        </w:rPr>
        <w:t xml:space="preserve">–9.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4.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Pawitan</w:t>
      </w:r>
      <w:proofErr w:type="spellEnd"/>
      <w:r w:rsidRPr="00A7512F">
        <w:rPr>
          <w:rFonts w:ascii="Times New Roman" w:hAnsi="Times New Roman" w:cs="Times New Roman"/>
          <w:sz w:val="24"/>
          <w:szCs w:val="24"/>
        </w:rPr>
        <w:t xml:space="preserve"> Y, </w:t>
      </w:r>
      <w:proofErr w:type="spellStart"/>
      <w:r w:rsidRPr="00A7512F">
        <w:rPr>
          <w:rFonts w:ascii="Times New Roman" w:hAnsi="Times New Roman" w:cs="Times New Roman"/>
          <w:sz w:val="24"/>
          <w:szCs w:val="24"/>
        </w:rPr>
        <w:t>Bjöhle</w:t>
      </w:r>
      <w:proofErr w:type="spellEnd"/>
      <w:r w:rsidRPr="00A7512F">
        <w:rPr>
          <w:rFonts w:ascii="Times New Roman" w:hAnsi="Times New Roman" w:cs="Times New Roman"/>
          <w:sz w:val="24"/>
          <w:szCs w:val="24"/>
        </w:rPr>
        <w:t xml:space="preserve"> J, </w:t>
      </w:r>
      <w:proofErr w:type="spellStart"/>
      <w:r w:rsidRPr="00A7512F">
        <w:rPr>
          <w:rFonts w:ascii="Times New Roman" w:hAnsi="Times New Roman" w:cs="Times New Roman"/>
          <w:sz w:val="24"/>
          <w:szCs w:val="24"/>
        </w:rPr>
        <w:t>Amler</w:t>
      </w:r>
      <w:proofErr w:type="spellEnd"/>
      <w:r w:rsidRPr="00A7512F">
        <w:rPr>
          <w:rFonts w:ascii="Times New Roman" w:hAnsi="Times New Roman" w:cs="Times New Roman"/>
          <w:sz w:val="24"/>
          <w:szCs w:val="24"/>
        </w:rPr>
        <w:t xml:space="preserve"> L, Borg A-L, </w:t>
      </w:r>
      <w:proofErr w:type="spellStart"/>
      <w:r w:rsidRPr="00A7512F">
        <w:rPr>
          <w:rFonts w:ascii="Times New Roman" w:hAnsi="Times New Roman" w:cs="Times New Roman"/>
          <w:sz w:val="24"/>
          <w:szCs w:val="24"/>
        </w:rPr>
        <w:t>Egyhazi</w:t>
      </w:r>
      <w:proofErr w:type="spellEnd"/>
      <w:r w:rsidRPr="00A7512F">
        <w:rPr>
          <w:rFonts w:ascii="Times New Roman" w:hAnsi="Times New Roman" w:cs="Times New Roman"/>
          <w:sz w:val="24"/>
          <w:szCs w:val="24"/>
        </w:rPr>
        <w:t xml:space="preserve"> S, </w:t>
      </w:r>
      <w:proofErr w:type="gramStart"/>
      <w:r w:rsidRPr="00A7512F">
        <w:rPr>
          <w:rFonts w:ascii="Times New Roman" w:hAnsi="Times New Roman" w:cs="Times New Roman"/>
          <w:sz w:val="24"/>
          <w:szCs w:val="24"/>
        </w:rPr>
        <w:t>Hall</w:t>
      </w:r>
      <w:proofErr w:type="gramEnd"/>
      <w:r w:rsidRPr="00A7512F">
        <w:rPr>
          <w:rFonts w:ascii="Times New Roman" w:hAnsi="Times New Roman" w:cs="Times New Roman"/>
          <w:sz w:val="24"/>
          <w:szCs w:val="24"/>
        </w:rPr>
        <w:t xml:space="preserve"> P, et al. Gene expression profiling spares early breast cancer patients from adjuvant therapy: derived and validated in two population-based cohorts. </w:t>
      </w:r>
      <w:proofErr w:type="gramStart"/>
      <w:r w:rsidRPr="00A7512F">
        <w:rPr>
          <w:rFonts w:ascii="Times New Roman" w:hAnsi="Times New Roman" w:cs="Times New Roman"/>
          <w:sz w:val="24"/>
          <w:szCs w:val="24"/>
        </w:rPr>
        <w:t>Breast Cancer Res BCR.</w:t>
      </w:r>
      <w:proofErr w:type="gramEnd"/>
      <w:r w:rsidRPr="00A7512F">
        <w:rPr>
          <w:rFonts w:ascii="Times New Roman" w:hAnsi="Times New Roman" w:cs="Times New Roman"/>
          <w:sz w:val="24"/>
          <w:szCs w:val="24"/>
        </w:rPr>
        <w:t xml:space="preserve"> 2005</w:t>
      </w:r>
      <w:proofErr w:type="gramStart"/>
      <w:r w:rsidRPr="00A7512F">
        <w:rPr>
          <w:rFonts w:ascii="Times New Roman" w:hAnsi="Times New Roman" w:cs="Times New Roman"/>
          <w:sz w:val="24"/>
          <w:szCs w:val="24"/>
        </w:rPr>
        <w:t>;7:R953</w:t>
      </w:r>
      <w:proofErr w:type="gramEnd"/>
      <w:r w:rsidRPr="00A7512F">
        <w:rPr>
          <w:rFonts w:ascii="Times New Roman" w:hAnsi="Times New Roman" w:cs="Times New Roman"/>
          <w:sz w:val="24"/>
          <w:szCs w:val="24"/>
        </w:rPr>
        <w:t xml:space="preserve">-964.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5.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Desmedt</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Giobbie-Hurder</w:t>
      </w:r>
      <w:proofErr w:type="spellEnd"/>
      <w:r w:rsidRPr="00A7512F">
        <w:rPr>
          <w:rFonts w:ascii="Times New Roman" w:hAnsi="Times New Roman" w:cs="Times New Roman"/>
          <w:sz w:val="24"/>
          <w:szCs w:val="24"/>
        </w:rPr>
        <w:t xml:space="preserve"> A, Neven P, </w:t>
      </w:r>
      <w:proofErr w:type="spellStart"/>
      <w:r w:rsidRPr="00A7512F">
        <w:rPr>
          <w:rFonts w:ascii="Times New Roman" w:hAnsi="Times New Roman" w:cs="Times New Roman"/>
          <w:sz w:val="24"/>
          <w:szCs w:val="24"/>
        </w:rPr>
        <w:t>Paridaens</w:t>
      </w:r>
      <w:proofErr w:type="spellEnd"/>
      <w:r w:rsidRPr="00A7512F">
        <w:rPr>
          <w:rFonts w:ascii="Times New Roman" w:hAnsi="Times New Roman" w:cs="Times New Roman"/>
          <w:sz w:val="24"/>
          <w:szCs w:val="24"/>
        </w:rPr>
        <w:t xml:space="preserve"> R, </w:t>
      </w:r>
      <w:proofErr w:type="spellStart"/>
      <w:r w:rsidRPr="00A7512F">
        <w:rPr>
          <w:rFonts w:ascii="Times New Roman" w:hAnsi="Times New Roman" w:cs="Times New Roman"/>
          <w:sz w:val="24"/>
          <w:szCs w:val="24"/>
        </w:rPr>
        <w:t>Christiaens</w:t>
      </w:r>
      <w:proofErr w:type="spellEnd"/>
      <w:r w:rsidRPr="00A7512F">
        <w:rPr>
          <w:rFonts w:ascii="Times New Roman" w:hAnsi="Times New Roman" w:cs="Times New Roman"/>
          <w:sz w:val="24"/>
          <w:szCs w:val="24"/>
        </w:rPr>
        <w:t xml:space="preserve"> M-R, </w:t>
      </w:r>
      <w:proofErr w:type="spellStart"/>
      <w:r w:rsidRPr="00A7512F">
        <w:rPr>
          <w:rFonts w:ascii="Times New Roman" w:hAnsi="Times New Roman" w:cs="Times New Roman"/>
          <w:sz w:val="24"/>
          <w:szCs w:val="24"/>
        </w:rPr>
        <w:t>Smeets</w:t>
      </w:r>
      <w:proofErr w:type="spellEnd"/>
      <w:r w:rsidRPr="00A7512F">
        <w:rPr>
          <w:rFonts w:ascii="Times New Roman" w:hAnsi="Times New Roman" w:cs="Times New Roman"/>
          <w:sz w:val="24"/>
          <w:szCs w:val="24"/>
        </w:rPr>
        <w:t xml:space="preserve"> A, et al. The Gene expression Grade Index: a potential predictor of relapse for endocrine-treated breast cancer patients in the BIG 1-98 trial. </w:t>
      </w:r>
      <w:proofErr w:type="gramStart"/>
      <w:r w:rsidRPr="00A7512F">
        <w:rPr>
          <w:rFonts w:ascii="Times New Roman" w:hAnsi="Times New Roman" w:cs="Times New Roman"/>
          <w:sz w:val="24"/>
          <w:szCs w:val="24"/>
        </w:rPr>
        <w:t>BMC Med Genomics.</w:t>
      </w:r>
      <w:proofErr w:type="gramEnd"/>
      <w:r w:rsidRPr="00A7512F">
        <w:rPr>
          <w:rFonts w:ascii="Times New Roman" w:hAnsi="Times New Roman" w:cs="Times New Roman"/>
          <w:sz w:val="24"/>
          <w:szCs w:val="24"/>
        </w:rPr>
        <w:t xml:space="preserve"> 2009</w:t>
      </w:r>
      <w:proofErr w:type="gramStart"/>
      <w:r w:rsidRPr="00A7512F">
        <w:rPr>
          <w:rFonts w:ascii="Times New Roman" w:hAnsi="Times New Roman" w:cs="Times New Roman"/>
          <w:sz w:val="24"/>
          <w:szCs w:val="24"/>
        </w:rPr>
        <w:t>;2:40</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6.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Symmans</w:t>
      </w:r>
      <w:proofErr w:type="spellEnd"/>
      <w:r w:rsidRPr="00A7512F">
        <w:rPr>
          <w:rFonts w:ascii="Times New Roman" w:hAnsi="Times New Roman" w:cs="Times New Roman"/>
          <w:sz w:val="24"/>
          <w:szCs w:val="24"/>
        </w:rPr>
        <w:t xml:space="preserve"> WF, </w:t>
      </w:r>
      <w:proofErr w:type="spellStart"/>
      <w:r w:rsidRPr="00A7512F">
        <w:rPr>
          <w:rFonts w:ascii="Times New Roman" w:hAnsi="Times New Roman" w:cs="Times New Roman"/>
          <w:sz w:val="24"/>
          <w:szCs w:val="24"/>
        </w:rPr>
        <w:t>Hatzis</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Sotiriou</w:t>
      </w:r>
      <w:proofErr w:type="spellEnd"/>
      <w:r w:rsidRPr="00A7512F">
        <w:rPr>
          <w:rFonts w:ascii="Times New Roman" w:hAnsi="Times New Roman" w:cs="Times New Roman"/>
          <w:sz w:val="24"/>
          <w:szCs w:val="24"/>
        </w:rPr>
        <w:t xml:space="preserve"> C, Andre F, </w:t>
      </w:r>
      <w:proofErr w:type="spellStart"/>
      <w:r w:rsidRPr="00A7512F">
        <w:rPr>
          <w:rFonts w:ascii="Times New Roman" w:hAnsi="Times New Roman" w:cs="Times New Roman"/>
          <w:sz w:val="24"/>
          <w:szCs w:val="24"/>
        </w:rPr>
        <w:t>Peintinger</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Regitnig</w:t>
      </w:r>
      <w:proofErr w:type="spellEnd"/>
      <w:r w:rsidRPr="00A7512F">
        <w:rPr>
          <w:rFonts w:ascii="Times New Roman" w:hAnsi="Times New Roman" w:cs="Times New Roman"/>
          <w:sz w:val="24"/>
          <w:szCs w:val="24"/>
        </w:rPr>
        <w:t xml:space="preserve"> P, et al. Genomic index of sensitivity to endocrine therapy for breast cancer. J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xml:space="preserve"> Off J Am </w:t>
      </w:r>
      <w:proofErr w:type="spellStart"/>
      <w:r w:rsidRPr="00A7512F">
        <w:rPr>
          <w:rFonts w:ascii="Times New Roman" w:hAnsi="Times New Roman" w:cs="Times New Roman"/>
          <w:sz w:val="24"/>
          <w:szCs w:val="24"/>
        </w:rPr>
        <w:t>Soc</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2010</w:t>
      </w:r>
      <w:proofErr w:type="gramStart"/>
      <w:r w:rsidRPr="00A7512F">
        <w:rPr>
          <w:rFonts w:ascii="Times New Roman" w:hAnsi="Times New Roman" w:cs="Times New Roman"/>
          <w:sz w:val="24"/>
          <w:szCs w:val="24"/>
        </w:rPr>
        <w:t>;28:4111</w:t>
      </w:r>
      <w:proofErr w:type="gramEnd"/>
      <w:r w:rsidRPr="00A7512F">
        <w:rPr>
          <w:rFonts w:ascii="Times New Roman" w:hAnsi="Times New Roman" w:cs="Times New Roman"/>
          <w:sz w:val="24"/>
          <w:szCs w:val="24"/>
        </w:rPr>
        <w:t xml:space="preserve">–9.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7.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Sircoulomb</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Bekhouche</w:t>
      </w:r>
      <w:proofErr w:type="spellEnd"/>
      <w:r w:rsidRPr="00A7512F">
        <w:rPr>
          <w:rFonts w:ascii="Times New Roman" w:hAnsi="Times New Roman" w:cs="Times New Roman"/>
          <w:sz w:val="24"/>
          <w:szCs w:val="24"/>
        </w:rPr>
        <w:t xml:space="preserve"> I, </w:t>
      </w:r>
      <w:proofErr w:type="spellStart"/>
      <w:r w:rsidRPr="00A7512F">
        <w:rPr>
          <w:rFonts w:ascii="Times New Roman" w:hAnsi="Times New Roman" w:cs="Times New Roman"/>
          <w:sz w:val="24"/>
          <w:szCs w:val="24"/>
        </w:rPr>
        <w:t>Finetti</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Adélaïde</w:t>
      </w:r>
      <w:proofErr w:type="spellEnd"/>
      <w:r w:rsidRPr="00A7512F">
        <w:rPr>
          <w:rFonts w:ascii="Times New Roman" w:hAnsi="Times New Roman" w:cs="Times New Roman"/>
          <w:sz w:val="24"/>
          <w:szCs w:val="24"/>
        </w:rPr>
        <w:t xml:space="preserve"> J, Ben </w:t>
      </w:r>
      <w:proofErr w:type="spellStart"/>
      <w:r w:rsidRPr="00A7512F">
        <w:rPr>
          <w:rFonts w:ascii="Times New Roman" w:hAnsi="Times New Roman" w:cs="Times New Roman"/>
          <w:sz w:val="24"/>
          <w:szCs w:val="24"/>
        </w:rPr>
        <w:t>Hamida</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Bonansea</w:t>
      </w:r>
      <w:proofErr w:type="spellEnd"/>
      <w:r w:rsidRPr="00A7512F">
        <w:rPr>
          <w:rFonts w:ascii="Times New Roman" w:hAnsi="Times New Roman" w:cs="Times New Roman"/>
          <w:sz w:val="24"/>
          <w:szCs w:val="24"/>
        </w:rPr>
        <w:t xml:space="preserve"> J, et al. Genome profiling of ERBB2-amplified breast cancers. </w:t>
      </w:r>
      <w:proofErr w:type="gramStart"/>
      <w:r w:rsidRPr="00A7512F">
        <w:rPr>
          <w:rFonts w:ascii="Times New Roman" w:hAnsi="Times New Roman" w:cs="Times New Roman"/>
          <w:sz w:val="24"/>
          <w:szCs w:val="24"/>
        </w:rPr>
        <w:t>BMC Cancer.</w:t>
      </w:r>
      <w:proofErr w:type="gramEnd"/>
      <w:r w:rsidRPr="00A7512F">
        <w:rPr>
          <w:rFonts w:ascii="Times New Roman" w:hAnsi="Times New Roman" w:cs="Times New Roman"/>
          <w:sz w:val="24"/>
          <w:szCs w:val="24"/>
        </w:rPr>
        <w:t xml:space="preserve"> 2010</w:t>
      </w:r>
      <w:proofErr w:type="gramStart"/>
      <w:r w:rsidRPr="00A7512F">
        <w:rPr>
          <w:rFonts w:ascii="Times New Roman" w:hAnsi="Times New Roman" w:cs="Times New Roman"/>
          <w:sz w:val="24"/>
          <w:szCs w:val="24"/>
        </w:rPr>
        <w:t>;10:539</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8. </w:t>
      </w:r>
      <w:r w:rsidRPr="00A7512F">
        <w:rPr>
          <w:rFonts w:ascii="Times New Roman" w:hAnsi="Times New Roman" w:cs="Times New Roman"/>
          <w:sz w:val="24"/>
          <w:szCs w:val="24"/>
        </w:rPr>
        <w:tab/>
        <w:t xml:space="preserve">Li Y, Zou L, Li Q,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Tian R, Li Y, et al. Amplification of LAPTM4B and YWHAZ contributes to chemotherapy resistance and recurrence of breast cancer. Nat Med. 2010</w:t>
      </w:r>
      <w:proofErr w:type="gramStart"/>
      <w:r w:rsidRPr="00A7512F">
        <w:rPr>
          <w:rFonts w:ascii="Times New Roman" w:hAnsi="Times New Roman" w:cs="Times New Roman"/>
          <w:sz w:val="24"/>
          <w:szCs w:val="24"/>
        </w:rPr>
        <w:t>;16:214</w:t>
      </w:r>
      <w:proofErr w:type="gramEnd"/>
      <w:r w:rsidRPr="00A7512F">
        <w:rPr>
          <w:rFonts w:ascii="Times New Roman" w:hAnsi="Times New Roman" w:cs="Times New Roman"/>
          <w:sz w:val="24"/>
          <w:szCs w:val="24"/>
        </w:rPr>
        <w:t xml:space="preserve">–8.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9. </w:t>
      </w:r>
      <w:r w:rsidRPr="00A7512F">
        <w:rPr>
          <w:rFonts w:ascii="Times New Roman" w:hAnsi="Times New Roman" w:cs="Times New Roman"/>
          <w:sz w:val="24"/>
          <w:szCs w:val="24"/>
        </w:rPr>
        <w:tab/>
        <w:t xml:space="preserve">Wang Y, </w:t>
      </w:r>
      <w:proofErr w:type="spellStart"/>
      <w:r w:rsidRPr="00A7512F">
        <w:rPr>
          <w:rFonts w:ascii="Times New Roman" w:hAnsi="Times New Roman" w:cs="Times New Roman"/>
          <w:sz w:val="24"/>
          <w:szCs w:val="24"/>
        </w:rPr>
        <w:t>Klijn</w:t>
      </w:r>
      <w:proofErr w:type="spellEnd"/>
      <w:r w:rsidRPr="00A7512F">
        <w:rPr>
          <w:rFonts w:ascii="Times New Roman" w:hAnsi="Times New Roman" w:cs="Times New Roman"/>
          <w:sz w:val="24"/>
          <w:szCs w:val="24"/>
        </w:rPr>
        <w:t xml:space="preserve"> JGM, Zhang Y, </w:t>
      </w:r>
      <w:proofErr w:type="spellStart"/>
      <w:r w:rsidRPr="00A7512F">
        <w:rPr>
          <w:rFonts w:ascii="Times New Roman" w:hAnsi="Times New Roman" w:cs="Times New Roman"/>
          <w:sz w:val="24"/>
          <w:szCs w:val="24"/>
        </w:rPr>
        <w:t>Sieuwerts</w:t>
      </w:r>
      <w:proofErr w:type="spellEnd"/>
      <w:r w:rsidRPr="00A7512F">
        <w:rPr>
          <w:rFonts w:ascii="Times New Roman" w:hAnsi="Times New Roman" w:cs="Times New Roman"/>
          <w:sz w:val="24"/>
          <w:szCs w:val="24"/>
        </w:rPr>
        <w:t xml:space="preserve"> AM, Look MP, Yang F, et al. Gene-expression profiles to predict distant metastasis of lymph-node-negative primary breast cancer. Lancet </w:t>
      </w:r>
      <w:proofErr w:type="spellStart"/>
      <w:r w:rsidRPr="00A7512F">
        <w:rPr>
          <w:rFonts w:ascii="Times New Roman" w:hAnsi="Times New Roman" w:cs="Times New Roman"/>
          <w:sz w:val="24"/>
          <w:szCs w:val="24"/>
        </w:rPr>
        <w:t>Lond</w:t>
      </w:r>
      <w:proofErr w:type="spellEnd"/>
      <w:r w:rsidRPr="00A7512F">
        <w:rPr>
          <w:rFonts w:ascii="Times New Roman" w:hAnsi="Times New Roman" w:cs="Times New Roman"/>
          <w:sz w:val="24"/>
          <w:szCs w:val="24"/>
        </w:rPr>
        <w:t xml:space="preserve"> Engl. 2005</w:t>
      </w:r>
      <w:proofErr w:type="gramStart"/>
      <w:r w:rsidRPr="00A7512F">
        <w:rPr>
          <w:rFonts w:ascii="Times New Roman" w:hAnsi="Times New Roman" w:cs="Times New Roman"/>
          <w:sz w:val="24"/>
          <w:szCs w:val="24"/>
        </w:rPr>
        <w:t>;365:671</w:t>
      </w:r>
      <w:proofErr w:type="gramEnd"/>
      <w:r w:rsidRPr="00A7512F">
        <w:rPr>
          <w:rFonts w:ascii="Times New Roman" w:hAnsi="Times New Roman" w:cs="Times New Roman"/>
          <w:sz w:val="24"/>
          <w:szCs w:val="24"/>
        </w:rPr>
        <w:t xml:space="preserve">–9.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10. </w:t>
      </w:r>
      <w:r w:rsidRPr="00A7512F">
        <w:rPr>
          <w:rFonts w:ascii="Times New Roman" w:hAnsi="Times New Roman" w:cs="Times New Roman"/>
          <w:sz w:val="24"/>
          <w:szCs w:val="24"/>
        </w:rPr>
        <w:tab/>
        <w:t xml:space="preserve">Kao K-J, Chang K-M, Hsu H-C, Huang AT. Correlation of microarray-based breast cancer molecular subtypes and clinical outcomes: implications for treatment optimization. </w:t>
      </w:r>
      <w:proofErr w:type="gramStart"/>
      <w:r w:rsidRPr="00A7512F">
        <w:rPr>
          <w:rFonts w:ascii="Times New Roman" w:hAnsi="Times New Roman" w:cs="Times New Roman"/>
          <w:sz w:val="24"/>
          <w:szCs w:val="24"/>
        </w:rPr>
        <w:t>BMC Cancer.</w:t>
      </w:r>
      <w:proofErr w:type="gramEnd"/>
      <w:r w:rsidRPr="00A7512F">
        <w:rPr>
          <w:rFonts w:ascii="Times New Roman" w:hAnsi="Times New Roman" w:cs="Times New Roman"/>
          <w:sz w:val="24"/>
          <w:szCs w:val="24"/>
        </w:rPr>
        <w:t xml:space="preserve"> 2011</w:t>
      </w:r>
      <w:proofErr w:type="gramStart"/>
      <w:r w:rsidRPr="00A7512F">
        <w:rPr>
          <w:rFonts w:ascii="Times New Roman" w:hAnsi="Times New Roman" w:cs="Times New Roman"/>
          <w:sz w:val="24"/>
          <w:szCs w:val="24"/>
        </w:rPr>
        <w:t>;11:143</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lastRenderedPageBreak/>
        <w:t xml:space="preserve">11.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Dedeurwaerder</w:t>
      </w:r>
      <w:proofErr w:type="spellEnd"/>
      <w:r w:rsidRPr="00A7512F">
        <w:rPr>
          <w:rFonts w:ascii="Times New Roman" w:hAnsi="Times New Roman" w:cs="Times New Roman"/>
          <w:sz w:val="24"/>
          <w:szCs w:val="24"/>
        </w:rPr>
        <w:t xml:space="preserve"> S, </w:t>
      </w:r>
      <w:proofErr w:type="spellStart"/>
      <w:r w:rsidRPr="00A7512F">
        <w:rPr>
          <w:rFonts w:ascii="Times New Roman" w:hAnsi="Times New Roman" w:cs="Times New Roman"/>
          <w:sz w:val="24"/>
          <w:szCs w:val="24"/>
        </w:rPr>
        <w:t>Desmedt</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Calonne</w:t>
      </w:r>
      <w:proofErr w:type="spellEnd"/>
      <w:r w:rsidRPr="00A7512F">
        <w:rPr>
          <w:rFonts w:ascii="Times New Roman" w:hAnsi="Times New Roman" w:cs="Times New Roman"/>
          <w:sz w:val="24"/>
          <w:szCs w:val="24"/>
        </w:rPr>
        <w:t xml:space="preserve"> E, </w:t>
      </w:r>
      <w:proofErr w:type="spellStart"/>
      <w:r w:rsidRPr="00A7512F">
        <w:rPr>
          <w:rFonts w:ascii="Times New Roman" w:hAnsi="Times New Roman" w:cs="Times New Roman"/>
          <w:sz w:val="24"/>
          <w:szCs w:val="24"/>
        </w:rPr>
        <w:t>Singhal</w:t>
      </w:r>
      <w:proofErr w:type="spellEnd"/>
      <w:r w:rsidRPr="00A7512F">
        <w:rPr>
          <w:rFonts w:ascii="Times New Roman" w:hAnsi="Times New Roman" w:cs="Times New Roman"/>
          <w:sz w:val="24"/>
          <w:szCs w:val="24"/>
        </w:rPr>
        <w:t xml:space="preserve"> SK,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w:t>
      </w:r>
      <w:proofErr w:type="spellStart"/>
      <w:r w:rsidRPr="00A7512F">
        <w:rPr>
          <w:rFonts w:ascii="Times New Roman" w:hAnsi="Times New Roman" w:cs="Times New Roman"/>
          <w:sz w:val="24"/>
          <w:szCs w:val="24"/>
        </w:rPr>
        <w:t>Defrance</w:t>
      </w:r>
      <w:proofErr w:type="spellEnd"/>
      <w:r w:rsidRPr="00A7512F">
        <w:rPr>
          <w:rFonts w:ascii="Times New Roman" w:hAnsi="Times New Roman" w:cs="Times New Roman"/>
          <w:sz w:val="24"/>
          <w:szCs w:val="24"/>
        </w:rPr>
        <w:t xml:space="preserve"> M, et al. DNA methylation profiling reveals a predominant immune component in breast cancers. EMBO </w:t>
      </w:r>
      <w:proofErr w:type="spellStart"/>
      <w:r w:rsidRPr="00A7512F">
        <w:rPr>
          <w:rFonts w:ascii="Times New Roman" w:hAnsi="Times New Roman" w:cs="Times New Roman"/>
          <w:sz w:val="24"/>
          <w:szCs w:val="24"/>
        </w:rPr>
        <w:t>Mol</w:t>
      </w:r>
      <w:proofErr w:type="spellEnd"/>
      <w:r w:rsidRPr="00A7512F">
        <w:rPr>
          <w:rFonts w:ascii="Times New Roman" w:hAnsi="Times New Roman" w:cs="Times New Roman"/>
          <w:sz w:val="24"/>
          <w:szCs w:val="24"/>
        </w:rPr>
        <w:t xml:space="preserve"> Med. 2011</w:t>
      </w:r>
      <w:proofErr w:type="gramStart"/>
      <w:r w:rsidRPr="00A7512F">
        <w:rPr>
          <w:rFonts w:ascii="Times New Roman" w:hAnsi="Times New Roman" w:cs="Times New Roman"/>
          <w:sz w:val="24"/>
          <w:szCs w:val="24"/>
        </w:rPr>
        <w:t>;3:726</w:t>
      </w:r>
      <w:proofErr w:type="gramEnd"/>
      <w:r w:rsidRPr="00A7512F">
        <w:rPr>
          <w:rFonts w:ascii="Times New Roman" w:hAnsi="Times New Roman" w:cs="Times New Roman"/>
          <w:sz w:val="24"/>
          <w:szCs w:val="24"/>
        </w:rPr>
        <w:t xml:space="preserve">–41.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12. </w:t>
      </w:r>
      <w:r w:rsidRPr="00A7512F">
        <w:rPr>
          <w:rFonts w:ascii="Times New Roman" w:hAnsi="Times New Roman" w:cs="Times New Roman"/>
          <w:sz w:val="24"/>
          <w:szCs w:val="24"/>
        </w:rPr>
        <w:tab/>
        <w:t xml:space="preserve">Sabatier R, </w:t>
      </w:r>
      <w:proofErr w:type="spellStart"/>
      <w:r w:rsidRPr="00A7512F">
        <w:rPr>
          <w:rFonts w:ascii="Times New Roman" w:hAnsi="Times New Roman" w:cs="Times New Roman"/>
          <w:sz w:val="24"/>
          <w:szCs w:val="24"/>
        </w:rPr>
        <w:t>Finetti</w:t>
      </w:r>
      <w:proofErr w:type="spellEnd"/>
      <w:r w:rsidRPr="00A7512F">
        <w:rPr>
          <w:rFonts w:ascii="Times New Roman" w:hAnsi="Times New Roman" w:cs="Times New Roman"/>
          <w:sz w:val="24"/>
          <w:szCs w:val="24"/>
        </w:rPr>
        <w:t xml:space="preserve"> P, Adelaide J, </w:t>
      </w:r>
      <w:proofErr w:type="spellStart"/>
      <w:r w:rsidRPr="00A7512F">
        <w:rPr>
          <w:rFonts w:ascii="Times New Roman" w:hAnsi="Times New Roman" w:cs="Times New Roman"/>
          <w:sz w:val="24"/>
          <w:szCs w:val="24"/>
        </w:rPr>
        <w:t>Guille</w:t>
      </w:r>
      <w:proofErr w:type="spellEnd"/>
      <w:r w:rsidRPr="00A7512F">
        <w:rPr>
          <w:rFonts w:ascii="Times New Roman" w:hAnsi="Times New Roman" w:cs="Times New Roman"/>
          <w:sz w:val="24"/>
          <w:szCs w:val="24"/>
        </w:rPr>
        <w:t xml:space="preserve"> A, Borg J-P, </w:t>
      </w:r>
      <w:proofErr w:type="spellStart"/>
      <w:r w:rsidRPr="00A7512F">
        <w:rPr>
          <w:rFonts w:ascii="Times New Roman" w:hAnsi="Times New Roman" w:cs="Times New Roman"/>
          <w:sz w:val="24"/>
          <w:szCs w:val="24"/>
        </w:rPr>
        <w:t>Chaffanet</w:t>
      </w:r>
      <w:proofErr w:type="spellEnd"/>
      <w:r w:rsidRPr="00A7512F">
        <w:rPr>
          <w:rFonts w:ascii="Times New Roman" w:hAnsi="Times New Roman" w:cs="Times New Roman"/>
          <w:sz w:val="24"/>
          <w:szCs w:val="24"/>
        </w:rPr>
        <w:t xml:space="preserve"> M, et al. Down-regulation of ECRG4, a candidate tumor suppressor gene, in human breast cancer. </w:t>
      </w:r>
      <w:proofErr w:type="spellStart"/>
      <w:proofErr w:type="gramStart"/>
      <w:r w:rsidRPr="00A7512F">
        <w:rPr>
          <w:rFonts w:ascii="Times New Roman" w:hAnsi="Times New Roman" w:cs="Times New Roman"/>
          <w:sz w:val="24"/>
          <w:szCs w:val="24"/>
        </w:rPr>
        <w:t>PloS</w:t>
      </w:r>
      <w:proofErr w:type="spellEnd"/>
      <w:r w:rsidRPr="00A7512F">
        <w:rPr>
          <w:rFonts w:ascii="Times New Roman" w:hAnsi="Times New Roman" w:cs="Times New Roman"/>
          <w:sz w:val="24"/>
          <w:szCs w:val="24"/>
        </w:rPr>
        <w:t xml:space="preserve"> One.</w:t>
      </w:r>
      <w:proofErr w:type="gramEnd"/>
      <w:r w:rsidRPr="00A7512F">
        <w:rPr>
          <w:rFonts w:ascii="Times New Roman" w:hAnsi="Times New Roman" w:cs="Times New Roman"/>
          <w:sz w:val="24"/>
          <w:szCs w:val="24"/>
        </w:rPr>
        <w:t xml:space="preserve"> 2011</w:t>
      </w:r>
      <w:proofErr w:type="gramStart"/>
      <w:r w:rsidRPr="00A7512F">
        <w:rPr>
          <w:rFonts w:ascii="Times New Roman" w:hAnsi="Times New Roman" w:cs="Times New Roman"/>
          <w:sz w:val="24"/>
          <w:szCs w:val="24"/>
        </w:rPr>
        <w:t>;6:e27656</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13.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Minn</w:t>
      </w:r>
      <w:proofErr w:type="spellEnd"/>
      <w:r w:rsidRPr="00A7512F">
        <w:rPr>
          <w:rFonts w:ascii="Times New Roman" w:hAnsi="Times New Roman" w:cs="Times New Roman"/>
          <w:sz w:val="24"/>
          <w:szCs w:val="24"/>
        </w:rPr>
        <w:t xml:space="preserve"> AJ, Gupta GP, Siegel PM, </w:t>
      </w:r>
      <w:proofErr w:type="spellStart"/>
      <w:r w:rsidRPr="00A7512F">
        <w:rPr>
          <w:rFonts w:ascii="Times New Roman" w:hAnsi="Times New Roman" w:cs="Times New Roman"/>
          <w:sz w:val="24"/>
          <w:szCs w:val="24"/>
        </w:rPr>
        <w:t>Bos</w:t>
      </w:r>
      <w:proofErr w:type="spellEnd"/>
      <w:r w:rsidRPr="00A7512F">
        <w:rPr>
          <w:rFonts w:ascii="Times New Roman" w:hAnsi="Times New Roman" w:cs="Times New Roman"/>
          <w:sz w:val="24"/>
          <w:szCs w:val="24"/>
        </w:rPr>
        <w:t xml:space="preserve"> PD, Shu W, </w:t>
      </w:r>
      <w:proofErr w:type="spellStart"/>
      <w:r w:rsidRPr="00A7512F">
        <w:rPr>
          <w:rFonts w:ascii="Times New Roman" w:hAnsi="Times New Roman" w:cs="Times New Roman"/>
          <w:sz w:val="24"/>
          <w:szCs w:val="24"/>
        </w:rPr>
        <w:t>Giri</w:t>
      </w:r>
      <w:proofErr w:type="spellEnd"/>
      <w:r w:rsidRPr="00A7512F">
        <w:rPr>
          <w:rFonts w:ascii="Times New Roman" w:hAnsi="Times New Roman" w:cs="Times New Roman"/>
          <w:sz w:val="24"/>
          <w:szCs w:val="24"/>
        </w:rPr>
        <w:t xml:space="preserve"> DD, et al. Genes that mediate breast cancer metastasis to lung. </w:t>
      </w:r>
      <w:proofErr w:type="gramStart"/>
      <w:r w:rsidRPr="00A7512F">
        <w:rPr>
          <w:rFonts w:ascii="Times New Roman" w:hAnsi="Times New Roman" w:cs="Times New Roman"/>
          <w:sz w:val="24"/>
          <w:szCs w:val="24"/>
        </w:rPr>
        <w:t>Nature.</w:t>
      </w:r>
      <w:proofErr w:type="gramEnd"/>
      <w:r w:rsidRPr="00A7512F">
        <w:rPr>
          <w:rFonts w:ascii="Times New Roman" w:hAnsi="Times New Roman" w:cs="Times New Roman"/>
          <w:sz w:val="24"/>
          <w:szCs w:val="24"/>
        </w:rPr>
        <w:t xml:space="preserve"> 2005</w:t>
      </w:r>
      <w:proofErr w:type="gramStart"/>
      <w:r w:rsidRPr="00A7512F">
        <w:rPr>
          <w:rFonts w:ascii="Times New Roman" w:hAnsi="Times New Roman" w:cs="Times New Roman"/>
          <w:sz w:val="24"/>
          <w:szCs w:val="24"/>
        </w:rPr>
        <w:t>;436:518</w:t>
      </w:r>
      <w:proofErr w:type="gramEnd"/>
      <w:r w:rsidRPr="00A7512F">
        <w:rPr>
          <w:rFonts w:ascii="Times New Roman" w:hAnsi="Times New Roman" w:cs="Times New Roman"/>
          <w:sz w:val="24"/>
          <w:szCs w:val="24"/>
        </w:rPr>
        <w:t xml:space="preserve">–24.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14.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Filipits</w:t>
      </w:r>
      <w:proofErr w:type="spellEnd"/>
      <w:r w:rsidRPr="00A7512F">
        <w:rPr>
          <w:rFonts w:ascii="Times New Roman" w:hAnsi="Times New Roman" w:cs="Times New Roman"/>
          <w:sz w:val="24"/>
          <w:szCs w:val="24"/>
        </w:rPr>
        <w:t xml:space="preserve"> M, </w:t>
      </w:r>
      <w:proofErr w:type="spellStart"/>
      <w:r w:rsidRPr="00A7512F">
        <w:rPr>
          <w:rFonts w:ascii="Times New Roman" w:hAnsi="Times New Roman" w:cs="Times New Roman"/>
          <w:sz w:val="24"/>
          <w:szCs w:val="24"/>
        </w:rPr>
        <w:t>Rudas</w:t>
      </w:r>
      <w:proofErr w:type="spellEnd"/>
      <w:r w:rsidRPr="00A7512F">
        <w:rPr>
          <w:rFonts w:ascii="Times New Roman" w:hAnsi="Times New Roman" w:cs="Times New Roman"/>
          <w:sz w:val="24"/>
          <w:szCs w:val="24"/>
        </w:rPr>
        <w:t xml:space="preserve"> M, </w:t>
      </w:r>
      <w:proofErr w:type="spellStart"/>
      <w:r w:rsidRPr="00A7512F">
        <w:rPr>
          <w:rFonts w:ascii="Times New Roman" w:hAnsi="Times New Roman" w:cs="Times New Roman"/>
          <w:sz w:val="24"/>
          <w:szCs w:val="24"/>
        </w:rPr>
        <w:t>Jakesz</w:t>
      </w:r>
      <w:proofErr w:type="spellEnd"/>
      <w:r w:rsidRPr="00A7512F">
        <w:rPr>
          <w:rFonts w:ascii="Times New Roman" w:hAnsi="Times New Roman" w:cs="Times New Roman"/>
          <w:sz w:val="24"/>
          <w:szCs w:val="24"/>
        </w:rPr>
        <w:t xml:space="preserve"> R, </w:t>
      </w:r>
      <w:proofErr w:type="spellStart"/>
      <w:r w:rsidRPr="00A7512F">
        <w:rPr>
          <w:rFonts w:ascii="Times New Roman" w:hAnsi="Times New Roman" w:cs="Times New Roman"/>
          <w:sz w:val="24"/>
          <w:szCs w:val="24"/>
        </w:rPr>
        <w:t>Dubsky</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Fitzal</w:t>
      </w:r>
      <w:proofErr w:type="spellEnd"/>
      <w:r w:rsidRPr="00A7512F">
        <w:rPr>
          <w:rFonts w:ascii="Times New Roman" w:hAnsi="Times New Roman" w:cs="Times New Roman"/>
          <w:sz w:val="24"/>
          <w:szCs w:val="24"/>
        </w:rPr>
        <w:t xml:space="preserve"> F, Singer CF, et al. A new molecular predictor of distant recurrence in ER-positive, HER2-negative breast cancer adds independent information to conventional clinical risk factors.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Cancer Res Off J Am </w:t>
      </w:r>
      <w:proofErr w:type="spellStart"/>
      <w:r w:rsidRPr="00A7512F">
        <w:rPr>
          <w:rFonts w:ascii="Times New Roman" w:hAnsi="Times New Roman" w:cs="Times New Roman"/>
          <w:sz w:val="24"/>
          <w:szCs w:val="24"/>
        </w:rPr>
        <w:t>Assoc</w:t>
      </w:r>
      <w:proofErr w:type="spellEnd"/>
      <w:r w:rsidRPr="00A7512F">
        <w:rPr>
          <w:rFonts w:ascii="Times New Roman" w:hAnsi="Times New Roman" w:cs="Times New Roman"/>
          <w:sz w:val="24"/>
          <w:szCs w:val="24"/>
        </w:rPr>
        <w:t xml:space="preserve"> Cancer Res. 2011</w:t>
      </w:r>
      <w:proofErr w:type="gramStart"/>
      <w:r w:rsidRPr="00A7512F">
        <w:rPr>
          <w:rFonts w:ascii="Times New Roman" w:hAnsi="Times New Roman" w:cs="Times New Roman"/>
          <w:sz w:val="24"/>
          <w:szCs w:val="24"/>
        </w:rPr>
        <w:t>;17:6012</w:t>
      </w:r>
      <w:proofErr w:type="gramEnd"/>
      <w:r w:rsidRPr="00A7512F">
        <w:rPr>
          <w:rFonts w:ascii="Times New Roman" w:hAnsi="Times New Roman" w:cs="Times New Roman"/>
          <w:sz w:val="24"/>
          <w:szCs w:val="24"/>
        </w:rPr>
        <w:t xml:space="preserve">–20.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15.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Sotiriou</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Wirapati</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Loi</w:t>
      </w:r>
      <w:proofErr w:type="spellEnd"/>
      <w:r w:rsidRPr="00A7512F">
        <w:rPr>
          <w:rFonts w:ascii="Times New Roman" w:hAnsi="Times New Roman" w:cs="Times New Roman"/>
          <w:sz w:val="24"/>
          <w:szCs w:val="24"/>
        </w:rPr>
        <w:t xml:space="preserve"> S, Harris A, Fox S, </w:t>
      </w:r>
      <w:proofErr w:type="spellStart"/>
      <w:proofErr w:type="gramStart"/>
      <w:r w:rsidRPr="00A7512F">
        <w:rPr>
          <w:rFonts w:ascii="Times New Roman" w:hAnsi="Times New Roman" w:cs="Times New Roman"/>
          <w:sz w:val="24"/>
          <w:szCs w:val="24"/>
        </w:rPr>
        <w:t>Smeds</w:t>
      </w:r>
      <w:proofErr w:type="spellEnd"/>
      <w:proofErr w:type="gramEnd"/>
      <w:r w:rsidRPr="00A7512F">
        <w:rPr>
          <w:rFonts w:ascii="Times New Roman" w:hAnsi="Times New Roman" w:cs="Times New Roman"/>
          <w:sz w:val="24"/>
          <w:szCs w:val="24"/>
        </w:rPr>
        <w:t xml:space="preserve"> J, et al. Gene expression profiling in breast cancer: understanding the molecular basis of histologic grade to improve prognosis. J Natl Cancer Inst. 2006</w:t>
      </w:r>
      <w:proofErr w:type="gramStart"/>
      <w:r w:rsidRPr="00A7512F">
        <w:rPr>
          <w:rFonts w:ascii="Times New Roman" w:hAnsi="Times New Roman" w:cs="Times New Roman"/>
          <w:sz w:val="24"/>
          <w:szCs w:val="24"/>
        </w:rPr>
        <w:t>;98:262</w:t>
      </w:r>
      <w:proofErr w:type="gramEnd"/>
      <w:r w:rsidRPr="00A7512F">
        <w:rPr>
          <w:rFonts w:ascii="Times New Roman" w:hAnsi="Times New Roman" w:cs="Times New Roman"/>
          <w:sz w:val="24"/>
          <w:szCs w:val="24"/>
        </w:rPr>
        <w:t xml:space="preserve">–72.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16.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Rody</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Karn</w:t>
      </w:r>
      <w:proofErr w:type="spellEnd"/>
      <w:r w:rsidRPr="00A7512F">
        <w:rPr>
          <w:rFonts w:ascii="Times New Roman" w:hAnsi="Times New Roman" w:cs="Times New Roman"/>
          <w:sz w:val="24"/>
          <w:szCs w:val="24"/>
        </w:rPr>
        <w:t xml:space="preserve"> T, </w:t>
      </w:r>
      <w:proofErr w:type="spellStart"/>
      <w:r w:rsidRPr="00A7512F">
        <w:rPr>
          <w:rFonts w:ascii="Times New Roman" w:hAnsi="Times New Roman" w:cs="Times New Roman"/>
          <w:sz w:val="24"/>
          <w:szCs w:val="24"/>
        </w:rPr>
        <w:t>Liedtke</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Pusztai</w:t>
      </w:r>
      <w:proofErr w:type="spellEnd"/>
      <w:r w:rsidRPr="00A7512F">
        <w:rPr>
          <w:rFonts w:ascii="Times New Roman" w:hAnsi="Times New Roman" w:cs="Times New Roman"/>
          <w:sz w:val="24"/>
          <w:szCs w:val="24"/>
        </w:rPr>
        <w:t xml:space="preserve"> L, </w:t>
      </w:r>
      <w:proofErr w:type="spellStart"/>
      <w:r w:rsidRPr="00A7512F">
        <w:rPr>
          <w:rFonts w:ascii="Times New Roman" w:hAnsi="Times New Roman" w:cs="Times New Roman"/>
          <w:sz w:val="24"/>
          <w:szCs w:val="24"/>
        </w:rPr>
        <w:t>Ruckhaeberle</w:t>
      </w:r>
      <w:proofErr w:type="spellEnd"/>
      <w:r w:rsidRPr="00A7512F">
        <w:rPr>
          <w:rFonts w:ascii="Times New Roman" w:hAnsi="Times New Roman" w:cs="Times New Roman"/>
          <w:sz w:val="24"/>
          <w:szCs w:val="24"/>
        </w:rPr>
        <w:t xml:space="preserve"> E, Hanker L, et al. </w:t>
      </w:r>
      <w:proofErr w:type="gramStart"/>
      <w:r w:rsidRPr="00A7512F">
        <w:rPr>
          <w:rFonts w:ascii="Times New Roman" w:hAnsi="Times New Roman" w:cs="Times New Roman"/>
          <w:sz w:val="24"/>
          <w:szCs w:val="24"/>
        </w:rPr>
        <w:t>A clinically relevant gene signature in triple negative and basal-like breast cancer.</w:t>
      </w:r>
      <w:proofErr w:type="gramEnd"/>
      <w:r w:rsidRPr="00A7512F">
        <w:rPr>
          <w:rFonts w:ascii="Times New Roman" w:hAnsi="Times New Roman" w:cs="Times New Roman"/>
          <w:sz w:val="24"/>
          <w:szCs w:val="24"/>
        </w:rPr>
        <w:t xml:space="preserve"> </w:t>
      </w:r>
      <w:proofErr w:type="gramStart"/>
      <w:r w:rsidRPr="00A7512F">
        <w:rPr>
          <w:rFonts w:ascii="Times New Roman" w:hAnsi="Times New Roman" w:cs="Times New Roman"/>
          <w:sz w:val="24"/>
          <w:szCs w:val="24"/>
        </w:rPr>
        <w:t>Breast Cancer Res BCR.</w:t>
      </w:r>
      <w:proofErr w:type="gramEnd"/>
      <w:r w:rsidRPr="00A7512F">
        <w:rPr>
          <w:rFonts w:ascii="Times New Roman" w:hAnsi="Times New Roman" w:cs="Times New Roman"/>
          <w:sz w:val="24"/>
          <w:szCs w:val="24"/>
        </w:rPr>
        <w:t xml:space="preserve"> 2011</w:t>
      </w:r>
      <w:proofErr w:type="gramStart"/>
      <w:r w:rsidRPr="00A7512F">
        <w:rPr>
          <w:rFonts w:ascii="Times New Roman" w:hAnsi="Times New Roman" w:cs="Times New Roman"/>
          <w:sz w:val="24"/>
          <w:szCs w:val="24"/>
        </w:rPr>
        <w:t>;13:R97</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17. </w:t>
      </w:r>
      <w:r w:rsidRPr="00A7512F">
        <w:rPr>
          <w:rFonts w:ascii="Times New Roman" w:hAnsi="Times New Roman" w:cs="Times New Roman"/>
          <w:sz w:val="24"/>
          <w:szCs w:val="24"/>
        </w:rPr>
        <w:tab/>
        <w:t xml:space="preserve">Miller LD, </w:t>
      </w:r>
      <w:proofErr w:type="spellStart"/>
      <w:r w:rsidRPr="00A7512F">
        <w:rPr>
          <w:rFonts w:ascii="Times New Roman" w:hAnsi="Times New Roman" w:cs="Times New Roman"/>
          <w:sz w:val="24"/>
          <w:szCs w:val="24"/>
        </w:rPr>
        <w:t>Smeds</w:t>
      </w:r>
      <w:proofErr w:type="spellEnd"/>
      <w:r w:rsidRPr="00A7512F">
        <w:rPr>
          <w:rFonts w:ascii="Times New Roman" w:hAnsi="Times New Roman" w:cs="Times New Roman"/>
          <w:sz w:val="24"/>
          <w:szCs w:val="24"/>
        </w:rPr>
        <w:t xml:space="preserve"> J, George J, Vega VB, Vergara L, </w:t>
      </w:r>
      <w:proofErr w:type="spellStart"/>
      <w:r w:rsidRPr="00A7512F">
        <w:rPr>
          <w:rFonts w:ascii="Times New Roman" w:hAnsi="Times New Roman" w:cs="Times New Roman"/>
          <w:sz w:val="24"/>
          <w:szCs w:val="24"/>
        </w:rPr>
        <w:t>Ploner</w:t>
      </w:r>
      <w:proofErr w:type="spellEnd"/>
      <w:r w:rsidRPr="00A7512F">
        <w:rPr>
          <w:rFonts w:ascii="Times New Roman" w:hAnsi="Times New Roman" w:cs="Times New Roman"/>
          <w:sz w:val="24"/>
          <w:szCs w:val="24"/>
        </w:rPr>
        <w:t xml:space="preserve"> A, et al. An expression signature for p53 status in human breast cancer predicts mutation status, transcriptional effects, and patient survival. Proc Natl </w:t>
      </w:r>
      <w:proofErr w:type="spellStart"/>
      <w:r w:rsidRPr="00A7512F">
        <w:rPr>
          <w:rFonts w:ascii="Times New Roman" w:hAnsi="Times New Roman" w:cs="Times New Roman"/>
          <w:sz w:val="24"/>
          <w:szCs w:val="24"/>
        </w:rPr>
        <w:t>Acad</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Sci</w:t>
      </w:r>
      <w:proofErr w:type="spellEnd"/>
      <w:r w:rsidRPr="00A7512F">
        <w:rPr>
          <w:rFonts w:ascii="Times New Roman" w:hAnsi="Times New Roman" w:cs="Times New Roman"/>
          <w:sz w:val="24"/>
          <w:szCs w:val="24"/>
        </w:rPr>
        <w:t xml:space="preserve"> U S A. 2005</w:t>
      </w:r>
      <w:proofErr w:type="gramStart"/>
      <w:r w:rsidRPr="00A7512F">
        <w:rPr>
          <w:rFonts w:ascii="Times New Roman" w:hAnsi="Times New Roman" w:cs="Times New Roman"/>
          <w:sz w:val="24"/>
          <w:szCs w:val="24"/>
        </w:rPr>
        <w:t>;102:13550</w:t>
      </w:r>
      <w:proofErr w:type="gramEnd"/>
      <w:r w:rsidRPr="00A7512F">
        <w:rPr>
          <w:rFonts w:ascii="Times New Roman" w:hAnsi="Times New Roman" w:cs="Times New Roman"/>
          <w:sz w:val="24"/>
          <w:szCs w:val="24"/>
        </w:rPr>
        <w:t xml:space="preserve">–5.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18. </w:t>
      </w:r>
      <w:r w:rsidRPr="00A7512F">
        <w:rPr>
          <w:rFonts w:ascii="Times New Roman" w:hAnsi="Times New Roman" w:cs="Times New Roman"/>
          <w:sz w:val="24"/>
          <w:szCs w:val="24"/>
        </w:rPr>
        <w:tab/>
        <w:t xml:space="preserve">Clarke C, Madden SF, </w:t>
      </w:r>
      <w:proofErr w:type="spellStart"/>
      <w:r w:rsidRPr="00A7512F">
        <w:rPr>
          <w:rFonts w:ascii="Times New Roman" w:hAnsi="Times New Roman" w:cs="Times New Roman"/>
          <w:sz w:val="24"/>
          <w:szCs w:val="24"/>
        </w:rPr>
        <w:t>Doolan</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Aherne</w:t>
      </w:r>
      <w:proofErr w:type="spellEnd"/>
      <w:r w:rsidRPr="00A7512F">
        <w:rPr>
          <w:rFonts w:ascii="Times New Roman" w:hAnsi="Times New Roman" w:cs="Times New Roman"/>
          <w:sz w:val="24"/>
          <w:szCs w:val="24"/>
        </w:rPr>
        <w:t xml:space="preserve"> ST, Joyce H, O’Driscoll L, et al. Correlating transcriptional networks to breast cancer survival: a large-scale </w:t>
      </w:r>
      <w:proofErr w:type="spellStart"/>
      <w:r w:rsidRPr="00A7512F">
        <w:rPr>
          <w:rFonts w:ascii="Times New Roman" w:hAnsi="Times New Roman" w:cs="Times New Roman"/>
          <w:sz w:val="24"/>
          <w:szCs w:val="24"/>
        </w:rPr>
        <w:t>coexpression</w:t>
      </w:r>
      <w:proofErr w:type="spellEnd"/>
      <w:r w:rsidRPr="00A7512F">
        <w:rPr>
          <w:rFonts w:ascii="Times New Roman" w:hAnsi="Times New Roman" w:cs="Times New Roman"/>
          <w:sz w:val="24"/>
          <w:szCs w:val="24"/>
        </w:rPr>
        <w:t xml:space="preserve"> analysis. </w:t>
      </w:r>
      <w:proofErr w:type="gramStart"/>
      <w:r w:rsidRPr="00A7512F">
        <w:rPr>
          <w:rFonts w:ascii="Times New Roman" w:hAnsi="Times New Roman" w:cs="Times New Roman"/>
          <w:sz w:val="24"/>
          <w:szCs w:val="24"/>
        </w:rPr>
        <w:t>Carcinogenesis.</w:t>
      </w:r>
      <w:proofErr w:type="gramEnd"/>
      <w:r w:rsidRPr="00A7512F">
        <w:rPr>
          <w:rFonts w:ascii="Times New Roman" w:hAnsi="Times New Roman" w:cs="Times New Roman"/>
          <w:sz w:val="24"/>
          <w:szCs w:val="24"/>
        </w:rPr>
        <w:t xml:space="preserve"> 2013</w:t>
      </w:r>
      <w:proofErr w:type="gramStart"/>
      <w:r w:rsidRPr="00A7512F">
        <w:rPr>
          <w:rFonts w:ascii="Times New Roman" w:hAnsi="Times New Roman" w:cs="Times New Roman"/>
          <w:sz w:val="24"/>
          <w:szCs w:val="24"/>
        </w:rPr>
        <w:t>;34:2300</w:t>
      </w:r>
      <w:proofErr w:type="gramEnd"/>
      <w:r w:rsidRPr="00A7512F">
        <w:rPr>
          <w:rFonts w:ascii="Times New Roman" w:hAnsi="Times New Roman" w:cs="Times New Roman"/>
          <w:sz w:val="24"/>
          <w:szCs w:val="24"/>
        </w:rPr>
        <w:t xml:space="preserve">–8.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19.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Nagalla</w:t>
      </w:r>
      <w:proofErr w:type="spellEnd"/>
      <w:r w:rsidRPr="00A7512F">
        <w:rPr>
          <w:rFonts w:ascii="Times New Roman" w:hAnsi="Times New Roman" w:cs="Times New Roman"/>
          <w:sz w:val="24"/>
          <w:szCs w:val="24"/>
        </w:rPr>
        <w:t xml:space="preserve"> S, Chou JW, Willingham MC, Ruiz J, Vaughn JP, Dubey P, et al. Interactions between immunity, proliferation and molecular subtype in breast cancer prognosis. Genome Biol. 2013</w:t>
      </w:r>
      <w:proofErr w:type="gramStart"/>
      <w:r w:rsidRPr="00A7512F">
        <w:rPr>
          <w:rFonts w:ascii="Times New Roman" w:hAnsi="Times New Roman" w:cs="Times New Roman"/>
          <w:sz w:val="24"/>
          <w:szCs w:val="24"/>
        </w:rPr>
        <w:t>;14:R34</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20.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Jézéquel</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Loussouarn</w:t>
      </w:r>
      <w:proofErr w:type="spellEnd"/>
      <w:r w:rsidRPr="00A7512F">
        <w:rPr>
          <w:rFonts w:ascii="Times New Roman" w:hAnsi="Times New Roman" w:cs="Times New Roman"/>
          <w:sz w:val="24"/>
          <w:szCs w:val="24"/>
        </w:rPr>
        <w:t xml:space="preserve"> D, </w:t>
      </w:r>
      <w:proofErr w:type="spellStart"/>
      <w:r w:rsidRPr="00A7512F">
        <w:rPr>
          <w:rFonts w:ascii="Times New Roman" w:hAnsi="Times New Roman" w:cs="Times New Roman"/>
          <w:sz w:val="24"/>
          <w:szCs w:val="24"/>
        </w:rPr>
        <w:t>Guérin-Charbonnel</w:t>
      </w:r>
      <w:proofErr w:type="spellEnd"/>
      <w:r w:rsidRPr="00A7512F">
        <w:rPr>
          <w:rFonts w:ascii="Times New Roman" w:hAnsi="Times New Roman" w:cs="Times New Roman"/>
          <w:sz w:val="24"/>
          <w:szCs w:val="24"/>
        </w:rPr>
        <w:t xml:space="preserve"> C, Campion L, Vanier A, </w:t>
      </w:r>
      <w:proofErr w:type="spellStart"/>
      <w:r w:rsidRPr="00A7512F">
        <w:rPr>
          <w:rFonts w:ascii="Times New Roman" w:hAnsi="Times New Roman" w:cs="Times New Roman"/>
          <w:sz w:val="24"/>
          <w:szCs w:val="24"/>
        </w:rPr>
        <w:t>Gouraud</w:t>
      </w:r>
      <w:proofErr w:type="spellEnd"/>
      <w:r w:rsidRPr="00A7512F">
        <w:rPr>
          <w:rFonts w:ascii="Times New Roman" w:hAnsi="Times New Roman" w:cs="Times New Roman"/>
          <w:sz w:val="24"/>
          <w:szCs w:val="24"/>
        </w:rPr>
        <w:t xml:space="preserve"> W, et al. Gene-expression molecular subtyping of triple-negative breast cancer </w:t>
      </w:r>
      <w:proofErr w:type="spellStart"/>
      <w:r w:rsidRPr="00A7512F">
        <w:rPr>
          <w:rFonts w:ascii="Times New Roman" w:hAnsi="Times New Roman" w:cs="Times New Roman"/>
          <w:sz w:val="24"/>
          <w:szCs w:val="24"/>
        </w:rPr>
        <w:t>tumours</w:t>
      </w:r>
      <w:proofErr w:type="spellEnd"/>
      <w:r w:rsidRPr="00A7512F">
        <w:rPr>
          <w:rFonts w:ascii="Times New Roman" w:hAnsi="Times New Roman" w:cs="Times New Roman"/>
          <w:sz w:val="24"/>
          <w:szCs w:val="24"/>
        </w:rPr>
        <w:t xml:space="preserve">: importance of immune response. </w:t>
      </w:r>
      <w:proofErr w:type="gramStart"/>
      <w:r w:rsidRPr="00A7512F">
        <w:rPr>
          <w:rFonts w:ascii="Times New Roman" w:hAnsi="Times New Roman" w:cs="Times New Roman"/>
          <w:sz w:val="24"/>
          <w:szCs w:val="24"/>
        </w:rPr>
        <w:t>Breast Cancer Res BCR.</w:t>
      </w:r>
      <w:proofErr w:type="gramEnd"/>
      <w:r w:rsidRPr="00A7512F">
        <w:rPr>
          <w:rFonts w:ascii="Times New Roman" w:hAnsi="Times New Roman" w:cs="Times New Roman"/>
          <w:sz w:val="24"/>
          <w:szCs w:val="24"/>
        </w:rPr>
        <w:t xml:space="preserve"> 2015</w:t>
      </w:r>
      <w:proofErr w:type="gramStart"/>
      <w:r w:rsidRPr="00A7512F">
        <w:rPr>
          <w:rFonts w:ascii="Times New Roman" w:hAnsi="Times New Roman" w:cs="Times New Roman"/>
          <w:sz w:val="24"/>
          <w:szCs w:val="24"/>
        </w:rPr>
        <w:t>;17:43</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lastRenderedPageBreak/>
        <w:t xml:space="preserve">21.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Maire</w:t>
      </w:r>
      <w:proofErr w:type="spellEnd"/>
      <w:r w:rsidRPr="00A7512F">
        <w:rPr>
          <w:rFonts w:ascii="Times New Roman" w:hAnsi="Times New Roman" w:cs="Times New Roman"/>
          <w:sz w:val="24"/>
          <w:szCs w:val="24"/>
        </w:rPr>
        <w:t xml:space="preserve"> V, </w:t>
      </w:r>
      <w:proofErr w:type="spellStart"/>
      <w:r w:rsidRPr="00A7512F">
        <w:rPr>
          <w:rFonts w:ascii="Times New Roman" w:hAnsi="Times New Roman" w:cs="Times New Roman"/>
          <w:sz w:val="24"/>
          <w:szCs w:val="24"/>
        </w:rPr>
        <w:t>Némati</w:t>
      </w:r>
      <w:proofErr w:type="spellEnd"/>
      <w:r w:rsidRPr="00A7512F">
        <w:rPr>
          <w:rFonts w:ascii="Times New Roman" w:hAnsi="Times New Roman" w:cs="Times New Roman"/>
          <w:sz w:val="24"/>
          <w:szCs w:val="24"/>
        </w:rPr>
        <w:t xml:space="preserve"> F, Richardson M, Vincent-Salomon A, </w:t>
      </w:r>
      <w:proofErr w:type="spellStart"/>
      <w:r w:rsidRPr="00A7512F">
        <w:rPr>
          <w:rFonts w:ascii="Times New Roman" w:hAnsi="Times New Roman" w:cs="Times New Roman"/>
          <w:sz w:val="24"/>
          <w:szCs w:val="24"/>
        </w:rPr>
        <w:t>Tesson</w:t>
      </w:r>
      <w:proofErr w:type="spellEnd"/>
      <w:r w:rsidRPr="00A7512F">
        <w:rPr>
          <w:rFonts w:ascii="Times New Roman" w:hAnsi="Times New Roman" w:cs="Times New Roman"/>
          <w:sz w:val="24"/>
          <w:szCs w:val="24"/>
        </w:rPr>
        <w:t xml:space="preserve"> B, </w:t>
      </w:r>
      <w:proofErr w:type="spellStart"/>
      <w:r w:rsidRPr="00A7512F">
        <w:rPr>
          <w:rFonts w:ascii="Times New Roman" w:hAnsi="Times New Roman" w:cs="Times New Roman"/>
          <w:sz w:val="24"/>
          <w:szCs w:val="24"/>
        </w:rPr>
        <w:t>Rigaill</w:t>
      </w:r>
      <w:proofErr w:type="spellEnd"/>
      <w:r w:rsidRPr="00A7512F">
        <w:rPr>
          <w:rFonts w:ascii="Times New Roman" w:hAnsi="Times New Roman" w:cs="Times New Roman"/>
          <w:sz w:val="24"/>
          <w:szCs w:val="24"/>
        </w:rPr>
        <w:t xml:space="preserve"> G, et al. Polo-like kinase 1: a potential therapeutic option in combination with conventional chemotherapy for the management of patients with triple-negative breast cancer. Cancer Res. 2013</w:t>
      </w:r>
      <w:proofErr w:type="gramStart"/>
      <w:r w:rsidRPr="00A7512F">
        <w:rPr>
          <w:rFonts w:ascii="Times New Roman" w:hAnsi="Times New Roman" w:cs="Times New Roman"/>
          <w:sz w:val="24"/>
          <w:szCs w:val="24"/>
        </w:rPr>
        <w:t>;73:813</w:t>
      </w:r>
      <w:proofErr w:type="gramEnd"/>
      <w:r w:rsidRPr="00A7512F">
        <w:rPr>
          <w:rFonts w:ascii="Times New Roman" w:hAnsi="Times New Roman" w:cs="Times New Roman"/>
          <w:sz w:val="24"/>
          <w:szCs w:val="24"/>
        </w:rPr>
        <w:t xml:space="preserve">–23.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22.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Loi</w:t>
      </w:r>
      <w:proofErr w:type="spellEnd"/>
      <w:r w:rsidRPr="00A7512F">
        <w:rPr>
          <w:rFonts w:ascii="Times New Roman" w:hAnsi="Times New Roman" w:cs="Times New Roman"/>
          <w:sz w:val="24"/>
          <w:szCs w:val="24"/>
        </w:rPr>
        <w:t xml:space="preserve"> S,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w:t>
      </w:r>
      <w:proofErr w:type="spellStart"/>
      <w:r w:rsidRPr="00A7512F">
        <w:rPr>
          <w:rFonts w:ascii="Times New Roman" w:hAnsi="Times New Roman" w:cs="Times New Roman"/>
          <w:sz w:val="24"/>
          <w:szCs w:val="24"/>
        </w:rPr>
        <w:t>Desmedt</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Lallemand</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Tutt</w:t>
      </w:r>
      <w:proofErr w:type="spellEnd"/>
      <w:r w:rsidRPr="00A7512F">
        <w:rPr>
          <w:rFonts w:ascii="Times New Roman" w:hAnsi="Times New Roman" w:cs="Times New Roman"/>
          <w:sz w:val="24"/>
          <w:szCs w:val="24"/>
        </w:rPr>
        <w:t xml:space="preserve"> AM, Gillet C, et al. Definition of clinically distinct molecular subtypes in estrogen receptor-positive breast carcinomas through genomic grade. J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xml:space="preserve"> Off J Am </w:t>
      </w:r>
      <w:proofErr w:type="spellStart"/>
      <w:r w:rsidRPr="00A7512F">
        <w:rPr>
          <w:rFonts w:ascii="Times New Roman" w:hAnsi="Times New Roman" w:cs="Times New Roman"/>
          <w:sz w:val="24"/>
          <w:szCs w:val="24"/>
        </w:rPr>
        <w:t>Soc</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2007</w:t>
      </w:r>
      <w:proofErr w:type="gramStart"/>
      <w:r w:rsidRPr="00A7512F">
        <w:rPr>
          <w:rFonts w:ascii="Times New Roman" w:hAnsi="Times New Roman" w:cs="Times New Roman"/>
          <w:sz w:val="24"/>
          <w:szCs w:val="24"/>
        </w:rPr>
        <w:t>;25:1239</w:t>
      </w:r>
      <w:proofErr w:type="gramEnd"/>
      <w:r w:rsidRPr="00A7512F">
        <w:rPr>
          <w:rFonts w:ascii="Times New Roman" w:hAnsi="Times New Roman" w:cs="Times New Roman"/>
          <w:sz w:val="24"/>
          <w:szCs w:val="24"/>
        </w:rPr>
        <w:t xml:space="preserve">–46.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23. </w:t>
      </w:r>
      <w:r w:rsidRPr="00A7512F">
        <w:rPr>
          <w:rFonts w:ascii="Times New Roman" w:hAnsi="Times New Roman" w:cs="Times New Roman"/>
          <w:sz w:val="24"/>
          <w:szCs w:val="24"/>
        </w:rPr>
        <w:tab/>
        <w:t xml:space="preserve">Xiang J, </w:t>
      </w:r>
      <w:proofErr w:type="spellStart"/>
      <w:r w:rsidRPr="00A7512F">
        <w:rPr>
          <w:rFonts w:ascii="Times New Roman" w:hAnsi="Times New Roman" w:cs="Times New Roman"/>
          <w:sz w:val="24"/>
          <w:szCs w:val="24"/>
        </w:rPr>
        <w:t>Hurchla</w:t>
      </w:r>
      <w:proofErr w:type="spellEnd"/>
      <w:r w:rsidRPr="00A7512F">
        <w:rPr>
          <w:rFonts w:ascii="Times New Roman" w:hAnsi="Times New Roman" w:cs="Times New Roman"/>
          <w:sz w:val="24"/>
          <w:szCs w:val="24"/>
        </w:rPr>
        <w:t xml:space="preserve"> MA, Fontana F, Su X, Amend SR, </w:t>
      </w:r>
      <w:proofErr w:type="spellStart"/>
      <w:r w:rsidRPr="00A7512F">
        <w:rPr>
          <w:rFonts w:ascii="Times New Roman" w:hAnsi="Times New Roman" w:cs="Times New Roman"/>
          <w:sz w:val="24"/>
          <w:szCs w:val="24"/>
        </w:rPr>
        <w:t>Esser</w:t>
      </w:r>
      <w:proofErr w:type="spellEnd"/>
      <w:r w:rsidRPr="00A7512F">
        <w:rPr>
          <w:rFonts w:ascii="Times New Roman" w:hAnsi="Times New Roman" w:cs="Times New Roman"/>
          <w:sz w:val="24"/>
          <w:szCs w:val="24"/>
        </w:rPr>
        <w:t xml:space="preserve"> AK, et al. CXCR4 Protein Epitope Mimetic Antagonist POL5551 Disrupts Metastasis and Enhances Chemotherapy Effect in Triple-Negative Breast Cancer. </w:t>
      </w:r>
      <w:proofErr w:type="spellStart"/>
      <w:proofErr w:type="gramStart"/>
      <w:r w:rsidRPr="00A7512F">
        <w:rPr>
          <w:rFonts w:ascii="Times New Roman" w:hAnsi="Times New Roman" w:cs="Times New Roman"/>
          <w:sz w:val="24"/>
          <w:szCs w:val="24"/>
        </w:rPr>
        <w:t>Mol</w:t>
      </w:r>
      <w:proofErr w:type="spellEnd"/>
      <w:r w:rsidRPr="00A7512F">
        <w:rPr>
          <w:rFonts w:ascii="Times New Roman" w:hAnsi="Times New Roman" w:cs="Times New Roman"/>
          <w:sz w:val="24"/>
          <w:szCs w:val="24"/>
        </w:rPr>
        <w:t xml:space="preserve"> Cancer </w:t>
      </w:r>
      <w:proofErr w:type="spellStart"/>
      <w:r w:rsidRPr="00A7512F">
        <w:rPr>
          <w:rFonts w:ascii="Times New Roman" w:hAnsi="Times New Roman" w:cs="Times New Roman"/>
          <w:sz w:val="24"/>
          <w:szCs w:val="24"/>
        </w:rPr>
        <w:t>Ther</w:t>
      </w:r>
      <w:proofErr w:type="spellEnd"/>
      <w:r w:rsidRPr="00A7512F">
        <w:rPr>
          <w:rFonts w:ascii="Times New Roman" w:hAnsi="Times New Roman" w:cs="Times New Roman"/>
          <w:sz w:val="24"/>
          <w:szCs w:val="24"/>
        </w:rPr>
        <w:t>.</w:t>
      </w:r>
      <w:proofErr w:type="gramEnd"/>
      <w:r w:rsidRPr="00A7512F">
        <w:rPr>
          <w:rFonts w:ascii="Times New Roman" w:hAnsi="Times New Roman" w:cs="Times New Roman"/>
          <w:sz w:val="24"/>
          <w:szCs w:val="24"/>
        </w:rPr>
        <w:t xml:space="preserve"> 2015</w:t>
      </w:r>
      <w:proofErr w:type="gramStart"/>
      <w:r w:rsidRPr="00A7512F">
        <w:rPr>
          <w:rFonts w:ascii="Times New Roman" w:hAnsi="Times New Roman" w:cs="Times New Roman"/>
          <w:sz w:val="24"/>
          <w:szCs w:val="24"/>
        </w:rPr>
        <w:t>;14:2473</w:t>
      </w:r>
      <w:proofErr w:type="gramEnd"/>
      <w:r w:rsidRPr="00A7512F">
        <w:rPr>
          <w:rFonts w:ascii="Times New Roman" w:hAnsi="Times New Roman" w:cs="Times New Roman"/>
          <w:sz w:val="24"/>
          <w:szCs w:val="24"/>
        </w:rPr>
        <w:t xml:space="preserve">–85.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24. </w:t>
      </w:r>
      <w:r w:rsidRPr="00A7512F">
        <w:rPr>
          <w:rFonts w:ascii="Times New Roman" w:hAnsi="Times New Roman" w:cs="Times New Roman"/>
          <w:sz w:val="24"/>
          <w:szCs w:val="24"/>
        </w:rPr>
        <w:tab/>
        <w:t xml:space="preserve">Zhou Y, </w:t>
      </w:r>
      <w:proofErr w:type="spellStart"/>
      <w:r w:rsidRPr="00A7512F">
        <w:rPr>
          <w:rFonts w:ascii="Times New Roman" w:hAnsi="Times New Roman" w:cs="Times New Roman"/>
          <w:sz w:val="24"/>
          <w:szCs w:val="24"/>
        </w:rPr>
        <w:t>Yau</w:t>
      </w:r>
      <w:proofErr w:type="spellEnd"/>
      <w:r w:rsidRPr="00A7512F">
        <w:rPr>
          <w:rFonts w:ascii="Times New Roman" w:hAnsi="Times New Roman" w:cs="Times New Roman"/>
          <w:sz w:val="24"/>
          <w:szCs w:val="24"/>
        </w:rPr>
        <w:t xml:space="preserve"> C, Gray JW, Chew K, </w:t>
      </w:r>
      <w:proofErr w:type="spellStart"/>
      <w:r w:rsidRPr="00A7512F">
        <w:rPr>
          <w:rFonts w:ascii="Times New Roman" w:hAnsi="Times New Roman" w:cs="Times New Roman"/>
          <w:sz w:val="24"/>
          <w:szCs w:val="24"/>
        </w:rPr>
        <w:t>Dairkee</w:t>
      </w:r>
      <w:proofErr w:type="spellEnd"/>
      <w:r w:rsidRPr="00A7512F">
        <w:rPr>
          <w:rFonts w:ascii="Times New Roman" w:hAnsi="Times New Roman" w:cs="Times New Roman"/>
          <w:sz w:val="24"/>
          <w:szCs w:val="24"/>
        </w:rPr>
        <w:t xml:space="preserve"> SH, Moore DH, et al. Enhanced NF kappa B and AP-1 transcriptional activity associated with antiestrogen resistant breast cancer. </w:t>
      </w:r>
      <w:proofErr w:type="gramStart"/>
      <w:r w:rsidRPr="00A7512F">
        <w:rPr>
          <w:rFonts w:ascii="Times New Roman" w:hAnsi="Times New Roman" w:cs="Times New Roman"/>
          <w:sz w:val="24"/>
          <w:szCs w:val="24"/>
        </w:rPr>
        <w:t>BMC Cancer.</w:t>
      </w:r>
      <w:proofErr w:type="gramEnd"/>
      <w:r w:rsidRPr="00A7512F">
        <w:rPr>
          <w:rFonts w:ascii="Times New Roman" w:hAnsi="Times New Roman" w:cs="Times New Roman"/>
          <w:sz w:val="24"/>
          <w:szCs w:val="24"/>
        </w:rPr>
        <w:t xml:space="preserve"> 2007</w:t>
      </w:r>
      <w:proofErr w:type="gramStart"/>
      <w:r w:rsidRPr="00A7512F">
        <w:rPr>
          <w:rFonts w:ascii="Times New Roman" w:hAnsi="Times New Roman" w:cs="Times New Roman"/>
          <w:sz w:val="24"/>
          <w:szCs w:val="24"/>
        </w:rPr>
        <w:t>;7:59</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25.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Desmedt</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Piette</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Loi</w:t>
      </w:r>
      <w:proofErr w:type="spellEnd"/>
      <w:r w:rsidRPr="00A7512F">
        <w:rPr>
          <w:rFonts w:ascii="Times New Roman" w:hAnsi="Times New Roman" w:cs="Times New Roman"/>
          <w:sz w:val="24"/>
          <w:szCs w:val="24"/>
        </w:rPr>
        <w:t xml:space="preserve"> S, Wang Y, </w:t>
      </w:r>
      <w:proofErr w:type="spellStart"/>
      <w:r w:rsidRPr="00A7512F">
        <w:rPr>
          <w:rFonts w:ascii="Times New Roman" w:hAnsi="Times New Roman" w:cs="Times New Roman"/>
          <w:sz w:val="24"/>
          <w:szCs w:val="24"/>
        </w:rPr>
        <w:t>Lallemand</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et al. Strong time dependence of the 76-gene prognostic signature for node-negative breast cancer patients in the TRANSBIG multicenter independent validation series.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Cancer Res Off J Am </w:t>
      </w:r>
      <w:proofErr w:type="spellStart"/>
      <w:r w:rsidRPr="00A7512F">
        <w:rPr>
          <w:rFonts w:ascii="Times New Roman" w:hAnsi="Times New Roman" w:cs="Times New Roman"/>
          <w:sz w:val="24"/>
          <w:szCs w:val="24"/>
        </w:rPr>
        <w:t>Assoc</w:t>
      </w:r>
      <w:proofErr w:type="spellEnd"/>
      <w:r w:rsidRPr="00A7512F">
        <w:rPr>
          <w:rFonts w:ascii="Times New Roman" w:hAnsi="Times New Roman" w:cs="Times New Roman"/>
          <w:sz w:val="24"/>
          <w:szCs w:val="24"/>
        </w:rPr>
        <w:t xml:space="preserve"> Cancer Res. 2007</w:t>
      </w:r>
      <w:proofErr w:type="gramStart"/>
      <w:r w:rsidRPr="00A7512F">
        <w:rPr>
          <w:rFonts w:ascii="Times New Roman" w:hAnsi="Times New Roman" w:cs="Times New Roman"/>
          <w:sz w:val="24"/>
          <w:szCs w:val="24"/>
        </w:rPr>
        <w:t>;13:3207</w:t>
      </w:r>
      <w:proofErr w:type="gramEnd"/>
      <w:r w:rsidRPr="00A7512F">
        <w:rPr>
          <w:rFonts w:ascii="Times New Roman" w:hAnsi="Times New Roman" w:cs="Times New Roman"/>
          <w:sz w:val="24"/>
          <w:szCs w:val="24"/>
        </w:rPr>
        <w:t xml:space="preserve">–14.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26. </w:t>
      </w:r>
      <w:r w:rsidRPr="00A7512F">
        <w:rPr>
          <w:rFonts w:ascii="Times New Roman" w:hAnsi="Times New Roman" w:cs="Times New Roman"/>
          <w:sz w:val="24"/>
          <w:szCs w:val="24"/>
        </w:rPr>
        <w:tab/>
        <w:t>Metzger-</w:t>
      </w:r>
      <w:proofErr w:type="spellStart"/>
      <w:r w:rsidRPr="00A7512F">
        <w:rPr>
          <w:rFonts w:ascii="Times New Roman" w:hAnsi="Times New Roman" w:cs="Times New Roman"/>
          <w:sz w:val="24"/>
          <w:szCs w:val="24"/>
        </w:rPr>
        <w:t>Filho</w:t>
      </w:r>
      <w:proofErr w:type="spellEnd"/>
      <w:r w:rsidRPr="00A7512F">
        <w:rPr>
          <w:rFonts w:ascii="Times New Roman" w:hAnsi="Times New Roman" w:cs="Times New Roman"/>
          <w:sz w:val="24"/>
          <w:szCs w:val="24"/>
        </w:rPr>
        <w:t xml:space="preserve"> O, </w:t>
      </w:r>
      <w:proofErr w:type="spellStart"/>
      <w:r w:rsidRPr="00A7512F">
        <w:rPr>
          <w:rFonts w:ascii="Times New Roman" w:hAnsi="Times New Roman" w:cs="Times New Roman"/>
          <w:sz w:val="24"/>
          <w:szCs w:val="24"/>
        </w:rPr>
        <w:t>Michiels</w:t>
      </w:r>
      <w:proofErr w:type="spellEnd"/>
      <w:r w:rsidRPr="00A7512F">
        <w:rPr>
          <w:rFonts w:ascii="Times New Roman" w:hAnsi="Times New Roman" w:cs="Times New Roman"/>
          <w:sz w:val="24"/>
          <w:szCs w:val="24"/>
        </w:rPr>
        <w:t xml:space="preserve"> S, </w:t>
      </w:r>
      <w:proofErr w:type="spellStart"/>
      <w:r w:rsidRPr="00A7512F">
        <w:rPr>
          <w:rFonts w:ascii="Times New Roman" w:hAnsi="Times New Roman" w:cs="Times New Roman"/>
          <w:sz w:val="24"/>
          <w:szCs w:val="24"/>
        </w:rPr>
        <w:t>Bertucci</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Catteau</w:t>
      </w:r>
      <w:proofErr w:type="spellEnd"/>
      <w:r w:rsidRPr="00A7512F">
        <w:rPr>
          <w:rFonts w:ascii="Times New Roman" w:hAnsi="Times New Roman" w:cs="Times New Roman"/>
          <w:sz w:val="24"/>
          <w:szCs w:val="24"/>
        </w:rPr>
        <w:t xml:space="preserve"> A, Salgado R, Galant C, et al. Genomic grade adds prognostic value in invasive lobular carcinoma. Ann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xml:space="preserve"> </w:t>
      </w:r>
      <w:proofErr w:type="gramStart"/>
      <w:r w:rsidRPr="00A7512F">
        <w:rPr>
          <w:rFonts w:ascii="Times New Roman" w:hAnsi="Times New Roman" w:cs="Times New Roman"/>
          <w:sz w:val="24"/>
          <w:szCs w:val="24"/>
        </w:rPr>
        <w:t>Off</w:t>
      </w:r>
      <w:proofErr w:type="gramEnd"/>
      <w:r w:rsidRPr="00A7512F">
        <w:rPr>
          <w:rFonts w:ascii="Times New Roman" w:hAnsi="Times New Roman" w:cs="Times New Roman"/>
          <w:sz w:val="24"/>
          <w:szCs w:val="24"/>
        </w:rPr>
        <w:t xml:space="preserve"> J </w:t>
      </w:r>
      <w:proofErr w:type="spellStart"/>
      <w:r w:rsidRPr="00A7512F">
        <w:rPr>
          <w:rFonts w:ascii="Times New Roman" w:hAnsi="Times New Roman" w:cs="Times New Roman"/>
          <w:sz w:val="24"/>
          <w:szCs w:val="24"/>
        </w:rPr>
        <w:t>Eur</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Soc</w:t>
      </w:r>
      <w:proofErr w:type="spellEnd"/>
      <w:r w:rsidRPr="00A7512F">
        <w:rPr>
          <w:rFonts w:ascii="Times New Roman" w:hAnsi="Times New Roman" w:cs="Times New Roman"/>
          <w:sz w:val="24"/>
          <w:szCs w:val="24"/>
        </w:rPr>
        <w:t xml:space="preserve"> Med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2013</w:t>
      </w:r>
      <w:proofErr w:type="gramStart"/>
      <w:r w:rsidRPr="00A7512F">
        <w:rPr>
          <w:rFonts w:ascii="Times New Roman" w:hAnsi="Times New Roman" w:cs="Times New Roman"/>
          <w:sz w:val="24"/>
          <w:szCs w:val="24"/>
        </w:rPr>
        <w:t>;24:377</w:t>
      </w:r>
      <w:proofErr w:type="gramEnd"/>
      <w:r w:rsidRPr="00A7512F">
        <w:rPr>
          <w:rFonts w:ascii="Times New Roman" w:hAnsi="Times New Roman" w:cs="Times New Roman"/>
          <w:sz w:val="24"/>
          <w:szCs w:val="24"/>
        </w:rPr>
        <w:t xml:space="preserve">–84.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27.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Loi</w:t>
      </w:r>
      <w:proofErr w:type="spellEnd"/>
      <w:r w:rsidRPr="00A7512F">
        <w:rPr>
          <w:rFonts w:ascii="Times New Roman" w:hAnsi="Times New Roman" w:cs="Times New Roman"/>
          <w:sz w:val="24"/>
          <w:szCs w:val="24"/>
        </w:rPr>
        <w:t xml:space="preserve"> S,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w:t>
      </w:r>
      <w:proofErr w:type="spellStart"/>
      <w:r w:rsidRPr="00A7512F">
        <w:rPr>
          <w:rFonts w:ascii="Times New Roman" w:hAnsi="Times New Roman" w:cs="Times New Roman"/>
          <w:sz w:val="24"/>
          <w:szCs w:val="24"/>
        </w:rPr>
        <w:t>Desmedt</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Wirapati</w:t>
      </w:r>
      <w:proofErr w:type="spellEnd"/>
      <w:r w:rsidRPr="00A7512F">
        <w:rPr>
          <w:rFonts w:ascii="Times New Roman" w:hAnsi="Times New Roman" w:cs="Times New Roman"/>
          <w:sz w:val="24"/>
          <w:szCs w:val="24"/>
        </w:rPr>
        <w:t xml:space="preserve"> P, </w:t>
      </w:r>
      <w:proofErr w:type="spellStart"/>
      <w:r w:rsidRPr="00A7512F">
        <w:rPr>
          <w:rFonts w:ascii="Times New Roman" w:hAnsi="Times New Roman" w:cs="Times New Roman"/>
          <w:sz w:val="24"/>
          <w:szCs w:val="24"/>
        </w:rPr>
        <w:t>Lallemand</w:t>
      </w:r>
      <w:proofErr w:type="spellEnd"/>
      <w:r w:rsidRPr="00A7512F">
        <w:rPr>
          <w:rFonts w:ascii="Times New Roman" w:hAnsi="Times New Roman" w:cs="Times New Roman"/>
          <w:sz w:val="24"/>
          <w:szCs w:val="24"/>
        </w:rPr>
        <w:t xml:space="preserve"> F, </w:t>
      </w:r>
      <w:proofErr w:type="spellStart"/>
      <w:r w:rsidRPr="00A7512F">
        <w:rPr>
          <w:rFonts w:ascii="Times New Roman" w:hAnsi="Times New Roman" w:cs="Times New Roman"/>
          <w:sz w:val="24"/>
          <w:szCs w:val="24"/>
        </w:rPr>
        <w:t>Tutt</w:t>
      </w:r>
      <w:proofErr w:type="spellEnd"/>
      <w:r w:rsidRPr="00A7512F">
        <w:rPr>
          <w:rFonts w:ascii="Times New Roman" w:hAnsi="Times New Roman" w:cs="Times New Roman"/>
          <w:sz w:val="24"/>
          <w:szCs w:val="24"/>
        </w:rPr>
        <w:t xml:space="preserve"> AM, et al. Predicting prognosis using molecular profiling in estrogen receptor-positive breast cancer treated with tamoxifen. </w:t>
      </w:r>
      <w:proofErr w:type="gramStart"/>
      <w:r w:rsidRPr="00A7512F">
        <w:rPr>
          <w:rFonts w:ascii="Times New Roman" w:hAnsi="Times New Roman" w:cs="Times New Roman"/>
          <w:sz w:val="24"/>
          <w:szCs w:val="24"/>
        </w:rPr>
        <w:t>BMC Genomics.</w:t>
      </w:r>
      <w:proofErr w:type="gramEnd"/>
      <w:r w:rsidRPr="00A7512F">
        <w:rPr>
          <w:rFonts w:ascii="Times New Roman" w:hAnsi="Times New Roman" w:cs="Times New Roman"/>
          <w:sz w:val="24"/>
          <w:szCs w:val="24"/>
        </w:rPr>
        <w:t xml:space="preserve"> 2008</w:t>
      </w:r>
      <w:proofErr w:type="gramStart"/>
      <w:r w:rsidRPr="00A7512F">
        <w:rPr>
          <w:rFonts w:ascii="Times New Roman" w:hAnsi="Times New Roman" w:cs="Times New Roman"/>
          <w:sz w:val="24"/>
          <w:szCs w:val="24"/>
        </w:rPr>
        <w:t>;9:239</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28.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Hatzis</w:t>
      </w:r>
      <w:proofErr w:type="spellEnd"/>
      <w:r w:rsidRPr="00A7512F">
        <w:rPr>
          <w:rFonts w:ascii="Times New Roman" w:hAnsi="Times New Roman" w:cs="Times New Roman"/>
          <w:sz w:val="24"/>
          <w:szCs w:val="24"/>
        </w:rPr>
        <w:t xml:space="preserve"> C, </w:t>
      </w:r>
      <w:proofErr w:type="spellStart"/>
      <w:r w:rsidRPr="00A7512F">
        <w:rPr>
          <w:rFonts w:ascii="Times New Roman" w:hAnsi="Times New Roman" w:cs="Times New Roman"/>
          <w:sz w:val="24"/>
          <w:szCs w:val="24"/>
        </w:rPr>
        <w:t>Pusztai</w:t>
      </w:r>
      <w:proofErr w:type="spellEnd"/>
      <w:r w:rsidRPr="00A7512F">
        <w:rPr>
          <w:rFonts w:ascii="Times New Roman" w:hAnsi="Times New Roman" w:cs="Times New Roman"/>
          <w:sz w:val="24"/>
          <w:szCs w:val="24"/>
        </w:rPr>
        <w:t xml:space="preserve"> L, Valero V, </w:t>
      </w:r>
      <w:proofErr w:type="spellStart"/>
      <w:r w:rsidRPr="00A7512F">
        <w:rPr>
          <w:rFonts w:ascii="Times New Roman" w:hAnsi="Times New Roman" w:cs="Times New Roman"/>
          <w:sz w:val="24"/>
          <w:szCs w:val="24"/>
        </w:rPr>
        <w:t>Booser</w:t>
      </w:r>
      <w:proofErr w:type="spellEnd"/>
      <w:r w:rsidRPr="00A7512F">
        <w:rPr>
          <w:rFonts w:ascii="Times New Roman" w:hAnsi="Times New Roman" w:cs="Times New Roman"/>
          <w:sz w:val="24"/>
          <w:szCs w:val="24"/>
        </w:rPr>
        <w:t xml:space="preserve"> DJ, </w:t>
      </w:r>
      <w:proofErr w:type="spellStart"/>
      <w:r w:rsidRPr="00A7512F">
        <w:rPr>
          <w:rFonts w:ascii="Times New Roman" w:hAnsi="Times New Roman" w:cs="Times New Roman"/>
          <w:sz w:val="24"/>
          <w:szCs w:val="24"/>
        </w:rPr>
        <w:t>Esserman</w:t>
      </w:r>
      <w:proofErr w:type="spellEnd"/>
      <w:r w:rsidRPr="00A7512F">
        <w:rPr>
          <w:rFonts w:ascii="Times New Roman" w:hAnsi="Times New Roman" w:cs="Times New Roman"/>
          <w:sz w:val="24"/>
          <w:szCs w:val="24"/>
        </w:rPr>
        <w:t xml:space="preserve"> L, </w:t>
      </w:r>
      <w:proofErr w:type="spellStart"/>
      <w:r w:rsidRPr="00A7512F">
        <w:rPr>
          <w:rFonts w:ascii="Times New Roman" w:hAnsi="Times New Roman" w:cs="Times New Roman"/>
          <w:sz w:val="24"/>
          <w:szCs w:val="24"/>
        </w:rPr>
        <w:t>Lluch</w:t>
      </w:r>
      <w:proofErr w:type="spellEnd"/>
      <w:r w:rsidRPr="00A7512F">
        <w:rPr>
          <w:rFonts w:ascii="Times New Roman" w:hAnsi="Times New Roman" w:cs="Times New Roman"/>
          <w:sz w:val="24"/>
          <w:szCs w:val="24"/>
        </w:rPr>
        <w:t xml:space="preserve"> A, et al. </w:t>
      </w:r>
      <w:proofErr w:type="gramStart"/>
      <w:r w:rsidRPr="00A7512F">
        <w:rPr>
          <w:rFonts w:ascii="Times New Roman" w:hAnsi="Times New Roman" w:cs="Times New Roman"/>
          <w:sz w:val="24"/>
          <w:szCs w:val="24"/>
        </w:rPr>
        <w:t xml:space="preserve">A genomic predictor of response and survival following </w:t>
      </w:r>
      <w:proofErr w:type="spellStart"/>
      <w:r w:rsidRPr="00A7512F">
        <w:rPr>
          <w:rFonts w:ascii="Times New Roman" w:hAnsi="Times New Roman" w:cs="Times New Roman"/>
          <w:sz w:val="24"/>
          <w:szCs w:val="24"/>
        </w:rPr>
        <w:t>taxane</w:t>
      </w:r>
      <w:proofErr w:type="spellEnd"/>
      <w:r w:rsidRPr="00A7512F">
        <w:rPr>
          <w:rFonts w:ascii="Times New Roman" w:hAnsi="Times New Roman" w:cs="Times New Roman"/>
          <w:sz w:val="24"/>
          <w:szCs w:val="24"/>
        </w:rPr>
        <w:t>-anthracycline chemotherapy for invasive breast cancer.</w:t>
      </w:r>
      <w:proofErr w:type="gramEnd"/>
      <w:r w:rsidRPr="00A7512F">
        <w:rPr>
          <w:rFonts w:ascii="Times New Roman" w:hAnsi="Times New Roman" w:cs="Times New Roman"/>
          <w:sz w:val="24"/>
          <w:szCs w:val="24"/>
        </w:rPr>
        <w:t xml:space="preserve"> </w:t>
      </w:r>
      <w:proofErr w:type="gramStart"/>
      <w:r w:rsidRPr="00A7512F">
        <w:rPr>
          <w:rFonts w:ascii="Times New Roman" w:hAnsi="Times New Roman" w:cs="Times New Roman"/>
          <w:sz w:val="24"/>
          <w:szCs w:val="24"/>
        </w:rPr>
        <w:t>JAMA.</w:t>
      </w:r>
      <w:proofErr w:type="gramEnd"/>
      <w:r w:rsidRPr="00A7512F">
        <w:rPr>
          <w:rFonts w:ascii="Times New Roman" w:hAnsi="Times New Roman" w:cs="Times New Roman"/>
          <w:sz w:val="24"/>
          <w:szCs w:val="24"/>
        </w:rPr>
        <w:t xml:space="preserve"> 2011</w:t>
      </w:r>
      <w:proofErr w:type="gramStart"/>
      <w:r w:rsidRPr="00A7512F">
        <w:rPr>
          <w:rFonts w:ascii="Times New Roman" w:hAnsi="Times New Roman" w:cs="Times New Roman"/>
          <w:sz w:val="24"/>
          <w:szCs w:val="24"/>
        </w:rPr>
        <w:t>;305:1873</w:t>
      </w:r>
      <w:proofErr w:type="gramEnd"/>
      <w:r w:rsidRPr="00A7512F">
        <w:rPr>
          <w:rFonts w:ascii="Times New Roman" w:hAnsi="Times New Roman" w:cs="Times New Roman"/>
          <w:sz w:val="24"/>
          <w:szCs w:val="24"/>
        </w:rPr>
        <w:t xml:space="preserve">–81.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29. </w:t>
      </w:r>
      <w:r w:rsidRPr="00A7512F">
        <w:rPr>
          <w:rFonts w:ascii="Times New Roman" w:hAnsi="Times New Roman" w:cs="Times New Roman"/>
          <w:sz w:val="24"/>
          <w:szCs w:val="24"/>
        </w:rPr>
        <w:tab/>
        <w:t xml:space="preserve">Li Y, Zou L, Li Q, </w:t>
      </w:r>
      <w:proofErr w:type="spellStart"/>
      <w:r w:rsidRPr="00A7512F">
        <w:rPr>
          <w:rFonts w:ascii="Times New Roman" w:hAnsi="Times New Roman" w:cs="Times New Roman"/>
          <w:sz w:val="24"/>
          <w:szCs w:val="24"/>
        </w:rPr>
        <w:t>Haibe-Kains</w:t>
      </w:r>
      <w:proofErr w:type="spellEnd"/>
      <w:r w:rsidRPr="00A7512F">
        <w:rPr>
          <w:rFonts w:ascii="Times New Roman" w:hAnsi="Times New Roman" w:cs="Times New Roman"/>
          <w:sz w:val="24"/>
          <w:szCs w:val="24"/>
        </w:rPr>
        <w:t xml:space="preserve"> B, Tian R, Li Y, et al. Amplification of LAPTM4B and YWHAZ contributes to chemotherapy resistance and recurrence of breast cancer. Nat Med. 2010</w:t>
      </w:r>
      <w:proofErr w:type="gramStart"/>
      <w:r w:rsidRPr="00A7512F">
        <w:rPr>
          <w:rFonts w:ascii="Times New Roman" w:hAnsi="Times New Roman" w:cs="Times New Roman"/>
          <w:sz w:val="24"/>
          <w:szCs w:val="24"/>
        </w:rPr>
        <w:t>;16:214</w:t>
      </w:r>
      <w:proofErr w:type="gramEnd"/>
      <w:r w:rsidRPr="00A7512F">
        <w:rPr>
          <w:rFonts w:ascii="Times New Roman" w:hAnsi="Times New Roman" w:cs="Times New Roman"/>
          <w:sz w:val="24"/>
          <w:szCs w:val="24"/>
        </w:rPr>
        <w:t xml:space="preserve">–8.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30. </w:t>
      </w:r>
      <w:r w:rsidRPr="00A7512F">
        <w:rPr>
          <w:rFonts w:ascii="Times New Roman" w:hAnsi="Times New Roman" w:cs="Times New Roman"/>
          <w:sz w:val="24"/>
          <w:szCs w:val="24"/>
        </w:rPr>
        <w:tab/>
        <w:t xml:space="preserve">Hess KR, Anderson K, </w:t>
      </w:r>
      <w:proofErr w:type="spellStart"/>
      <w:r w:rsidRPr="00A7512F">
        <w:rPr>
          <w:rFonts w:ascii="Times New Roman" w:hAnsi="Times New Roman" w:cs="Times New Roman"/>
          <w:sz w:val="24"/>
          <w:szCs w:val="24"/>
        </w:rPr>
        <w:t>Symmans</w:t>
      </w:r>
      <w:proofErr w:type="spellEnd"/>
      <w:r w:rsidRPr="00A7512F">
        <w:rPr>
          <w:rFonts w:ascii="Times New Roman" w:hAnsi="Times New Roman" w:cs="Times New Roman"/>
          <w:sz w:val="24"/>
          <w:szCs w:val="24"/>
        </w:rPr>
        <w:t xml:space="preserve"> WF, Valero V, Ibrahim N, Mejia JA, et al. </w:t>
      </w:r>
      <w:proofErr w:type="spellStart"/>
      <w:r w:rsidRPr="00A7512F">
        <w:rPr>
          <w:rFonts w:ascii="Times New Roman" w:hAnsi="Times New Roman" w:cs="Times New Roman"/>
          <w:sz w:val="24"/>
          <w:szCs w:val="24"/>
        </w:rPr>
        <w:t>Pharmacogenomic</w:t>
      </w:r>
      <w:proofErr w:type="spellEnd"/>
      <w:r w:rsidRPr="00A7512F">
        <w:rPr>
          <w:rFonts w:ascii="Times New Roman" w:hAnsi="Times New Roman" w:cs="Times New Roman"/>
          <w:sz w:val="24"/>
          <w:szCs w:val="24"/>
        </w:rPr>
        <w:t xml:space="preserve"> predictor of sensitivity to preoperative chemotherapy with paclitaxel and </w:t>
      </w:r>
      <w:r w:rsidRPr="00A7512F">
        <w:rPr>
          <w:rFonts w:ascii="Times New Roman" w:hAnsi="Times New Roman" w:cs="Times New Roman"/>
          <w:sz w:val="24"/>
          <w:szCs w:val="24"/>
        </w:rPr>
        <w:lastRenderedPageBreak/>
        <w:t xml:space="preserve">fluorouracil, doxorubicin, and cyclophosphamide in breast cancer. J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xml:space="preserve"> Off J Am </w:t>
      </w:r>
      <w:proofErr w:type="spellStart"/>
      <w:r w:rsidRPr="00A7512F">
        <w:rPr>
          <w:rFonts w:ascii="Times New Roman" w:hAnsi="Times New Roman" w:cs="Times New Roman"/>
          <w:sz w:val="24"/>
          <w:szCs w:val="24"/>
        </w:rPr>
        <w:t>Soc</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Oncol</w:t>
      </w:r>
      <w:proofErr w:type="spellEnd"/>
      <w:r w:rsidRPr="00A7512F">
        <w:rPr>
          <w:rFonts w:ascii="Times New Roman" w:hAnsi="Times New Roman" w:cs="Times New Roman"/>
          <w:sz w:val="24"/>
          <w:szCs w:val="24"/>
        </w:rPr>
        <w:t>. 2006</w:t>
      </w:r>
      <w:proofErr w:type="gramStart"/>
      <w:r w:rsidRPr="00A7512F">
        <w:rPr>
          <w:rFonts w:ascii="Times New Roman" w:hAnsi="Times New Roman" w:cs="Times New Roman"/>
          <w:sz w:val="24"/>
          <w:szCs w:val="24"/>
        </w:rPr>
        <w:t>;24:4236</w:t>
      </w:r>
      <w:proofErr w:type="gramEnd"/>
      <w:r w:rsidRPr="00A7512F">
        <w:rPr>
          <w:rFonts w:ascii="Times New Roman" w:hAnsi="Times New Roman" w:cs="Times New Roman"/>
          <w:sz w:val="24"/>
          <w:szCs w:val="24"/>
        </w:rPr>
        <w:t xml:space="preserve">–44.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31.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Korde</w:t>
      </w:r>
      <w:proofErr w:type="spellEnd"/>
      <w:r w:rsidRPr="00A7512F">
        <w:rPr>
          <w:rFonts w:ascii="Times New Roman" w:hAnsi="Times New Roman" w:cs="Times New Roman"/>
          <w:sz w:val="24"/>
          <w:szCs w:val="24"/>
        </w:rPr>
        <w:t xml:space="preserve"> LA, </w:t>
      </w:r>
      <w:proofErr w:type="spellStart"/>
      <w:r w:rsidRPr="00A7512F">
        <w:rPr>
          <w:rFonts w:ascii="Times New Roman" w:hAnsi="Times New Roman" w:cs="Times New Roman"/>
          <w:sz w:val="24"/>
          <w:szCs w:val="24"/>
        </w:rPr>
        <w:t>Lusa</w:t>
      </w:r>
      <w:proofErr w:type="spellEnd"/>
      <w:r w:rsidRPr="00A7512F">
        <w:rPr>
          <w:rFonts w:ascii="Times New Roman" w:hAnsi="Times New Roman" w:cs="Times New Roman"/>
          <w:sz w:val="24"/>
          <w:szCs w:val="24"/>
        </w:rPr>
        <w:t xml:space="preserve"> L, McShane L, </w:t>
      </w:r>
      <w:proofErr w:type="spellStart"/>
      <w:r w:rsidRPr="00A7512F">
        <w:rPr>
          <w:rFonts w:ascii="Times New Roman" w:hAnsi="Times New Roman" w:cs="Times New Roman"/>
          <w:sz w:val="24"/>
          <w:szCs w:val="24"/>
        </w:rPr>
        <w:t>Lebowitz</w:t>
      </w:r>
      <w:proofErr w:type="spellEnd"/>
      <w:r w:rsidRPr="00A7512F">
        <w:rPr>
          <w:rFonts w:ascii="Times New Roman" w:hAnsi="Times New Roman" w:cs="Times New Roman"/>
          <w:sz w:val="24"/>
          <w:szCs w:val="24"/>
        </w:rPr>
        <w:t xml:space="preserve"> PF, </w:t>
      </w:r>
      <w:proofErr w:type="spellStart"/>
      <w:r w:rsidRPr="00A7512F">
        <w:rPr>
          <w:rFonts w:ascii="Times New Roman" w:hAnsi="Times New Roman" w:cs="Times New Roman"/>
          <w:sz w:val="24"/>
          <w:szCs w:val="24"/>
        </w:rPr>
        <w:t>Lukes</w:t>
      </w:r>
      <w:proofErr w:type="spellEnd"/>
      <w:r w:rsidRPr="00A7512F">
        <w:rPr>
          <w:rFonts w:ascii="Times New Roman" w:hAnsi="Times New Roman" w:cs="Times New Roman"/>
          <w:sz w:val="24"/>
          <w:szCs w:val="24"/>
        </w:rPr>
        <w:t xml:space="preserve"> L, </w:t>
      </w:r>
      <w:proofErr w:type="spellStart"/>
      <w:r w:rsidRPr="00A7512F">
        <w:rPr>
          <w:rFonts w:ascii="Times New Roman" w:hAnsi="Times New Roman" w:cs="Times New Roman"/>
          <w:sz w:val="24"/>
          <w:szCs w:val="24"/>
        </w:rPr>
        <w:t>Camphausen</w:t>
      </w:r>
      <w:proofErr w:type="spellEnd"/>
      <w:r w:rsidRPr="00A7512F">
        <w:rPr>
          <w:rFonts w:ascii="Times New Roman" w:hAnsi="Times New Roman" w:cs="Times New Roman"/>
          <w:sz w:val="24"/>
          <w:szCs w:val="24"/>
        </w:rPr>
        <w:t xml:space="preserve"> K, et al. Gene expression pathway analysis to predict response   to neoadjuvant docetaxel and </w:t>
      </w:r>
      <w:proofErr w:type="spellStart"/>
      <w:r w:rsidRPr="00A7512F">
        <w:rPr>
          <w:rFonts w:ascii="Times New Roman" w:hAnsi="Times New Roman" w:cs="Times New Roman"/>
          <w:sz w:val="24"/>
          <w:szCs w:val="24"/>
        </w:rPr>
        <w:t>capecitabine</w:t>
      </w:r>
      <w:proofErr w:type="spellEnd"/>
      <w:r w:rsidRPr="00A7512F">
        <w:rPr>
          <w:rFonts w:ascii="Times New Roman" w:hAnsi="Times New Roman" w:cs="Times New Roman"/>
          <w:sz w:val="24"/>
          <w:szCs w:val="24"/>
        </w:rPr>
        <w:t xml:space="preserve"> for breast cancer. Breast Cancer Res Treat. 2010</w:t>
      </w:r>
      <w:proofErr w:type="gramStart"/>
      <w:r w:rsidRPr="00A7512F">
        <w:rPr>
          <w:rFonts w:ascii="Times New Roman" w:hAnsi="Times New Roman" w:cs="Times New Roman"/>
          <w:sz w:val="24"/>
          <w:szCs w:val="24"/>
        </w:rPr>
        <w:t>;119:685</w:t>
      </w:r>
      <w:proofErr w:type="gramEnd"/>
      <w:r w:rsidRPr="00A7512F">
        <w:rPr>
          <w:rFonts w:ascii="Times New Roman" w:hAnsi="Times New Roman" w:cs="Times New Roman"/>
          <w:sz w:val="24"/>
          <w:szCs w:val="24"/>
        </w:rPr>
        <w:t xml:space="preserve">–99.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32. </w:t>
      </w:r>
      <w:r w:rsidRPr="00A7512F">
        <w:rPr>
          <w:rFonts w:ascii="Times New Roman" w:hAnsi="Times New Roman" w:cs="Times New Roman"/>
          <w:sz w:val="24"/>
          <w:szCs w:val="24"/>
        </w:rPr>
        <w:tab/>
        <w:t xml:space="preserve">Shi L, Campbell G, Jones WD, </w:t>
      </w:r>
      <w:proofErr w:type="spellStart"/>
      <w:r w:rsidRPr="00A7512F">
        <w:rPr>
          <w:rFonts w:ascii="Times New Roman" w:hAnsi="Times New Roman" w:cs="Times New Roman"/>
          <w:sz w:val="24"/>
          <w:szCs w:val="24"/>
        </w:rPr>
        <w:t>Campagne</w:t>
      </w:r>
      <w:proofErr w:type="spellEnd"/>
      <w:r w:rsidRPr="00A7512F">
        <w:rPr>
          <w:rFonts w:ascii="Times New Roman" w:hAnsi="Times New Roman" w:cs="Times New Roman"/>
          <w:sz w:val="24"/>
          <w:szCs w:val="24"/>
        </w:rPr>
        <w:t xml:space="preserve"> F, Wen Z, Walker SJ, et al. The </w:t>
      </w:r>
      <w:proofErr w:type="spellStart"/>
      <w:r w:rsidRPr="00A7512F">
        <w:rPr>
          <w:rFonts w:ascii="Times New Roman" w:hAnsi="Times New Roman" w:cs="Times New Roman"/>
          <w:sz w:val="24"/>
          <w:szCs w:val="24"/>
        </w:rPr>
        <w:t>MicroArray</w:t>
      </w:r>
      <w:proofErr w:type="spellEnd"/>
      <w:r w:rsidRPr="00A7512F">
        <w:rPr>
          <w:rFonts w:ascii="Times New Roman" w:hAnsi="Times New Roman" w:cs="Times New Roman"/>
          <w:sz w:val="24"/>
          <w:szCs w:val="24"/>
        </w:rPr>
        <w:t xml:space="preserve"> Quality Control (MAQC)-II study of common practices for the development and validation of microarray-based predictive models. Nat </w:t>
      </w:r>
      <w:proofErr w:type="spellStart"/>
      <w:r w:rsidRPr="00A7512F">
        <w:rPr>
          <w:rFonts w:ascii="Times New Roman" w:hAnsi="Times New Roman" w:cs="Times New Roman"/>
          <w:sz w:val="24"/>
          <w:szCs w:val="24"/>
        </w:rPr>
        <w:t>Biotechnol</w:t>
      </w:r>
      <w:proofErr w:type="spellEnd"/>
      <w:r w:rsidRPr="00A7512F">
        <w:rPr>
          <w:rFonts w:ascii="Times New Roman" w:hAnsi="Times New Roman" w:cs="Times New Roman"/>
          <w:sz w:val="24"/>
          <w:szCs w:val="24"/>
        </w:rPr>
        <w:t>. 2010</w:t>
      </w:r>
      <w:proofErr w:type="gramStart"/>
      <w:r w:rsidRPr="00A7512F">
        <w:rPr>
          <w:rFonts w:ascii="Times New Roman" w:hAnsi="Times New Roman" w:cs="Times New Roman"/>
          <w:sz w:val="24"/>
          <w:szCs w:val="24"/>
        </w:rPr>
        <w:t>;28:827</w:t>
      </w:r>
      <w:proofErr w:type="gramEnd"/>
      <w:r w:rsidRPr="00A7512F">
        <w:rPr>
          <w:rFonts w:ascii="Times New Roman" w:hAnsi="Times New Roman" w:cs="Times New Roman"/>
          <w:sz w:val="24"/>
          <w:szCs w:val="24"/>
        </w:rPr>
        <w:t xml:space="preserve">–38.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33.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Tabchy</w:t>
      </w:r>
      <w:proofErr w:type="spellEnd"/>
      <w:r w:rsidRPr="00A7512F">
        <w:rPr>
          <w:rFonts w:ascii="Times New Roman" w:hAnsi="Times New Roman" w:cs="Times New Roman"/>
          <w:sz w:val="24"/>
          <w:szCs w:val="24"/>
        </w:rPr>
        <w:t xml:space="preserve"> A, Valero V, </w:t>
      </w:r>
      <w:proofErr w:type="spellStart"/>
      <w:r w:rsidRPr="00A7512F">
        <w:rPr>
          <w:rFonts w:ascii="Times New Roman" w:hAnsi="Times New Roman" w:cs="Times New Roman"/>
          <w:sz w:val="24"/>
          <w:szCs w:val="24"/>
        </w:rPr>
        <w:t>Vidaurre</w:t>
      </w:r>
      <w:proofErr w:type="spellEnd"/>
      <w:r w:rsidRPr="00A7512F">
        <w:rPr>
          <w:rFonts w:ascii="Times New Roman" w:hAnsi="Times New Roman" w:cs="Times New Roman"/>
          <w:sz w:val="24"/>
          <w:szCs w:val="24"/>
        </w:rPr>
        <w:t xml:space="preserve"> T, </w:t>
      </w:r>
      <w:proofErr w:type="spellStart"/>
      <w:r w:rsidRPr="00A7512F">
        <w:rPr>
          <w:rFonts w:ascii="Times New Roman" w:hAnsi="Times New Roman" w:cs="Times New Roman"/>
          <w:sz w:val="24"/>
          <w:szCs w:val="24"/>
        </w:rPr>
        <w:t>Lluch</w:t>
      </w:r>
      <w:proofErr w:type="spellEnd"/>
      <w:r w:rsidRPr="00A7512F">
        <w:rPr>
          <w:rFonts w:ascii="Times New Roman" w:hAnsi="Times New Roman" w:cs="Times New Roman"/>
          <w:sz w:val="24"/>
          <w:szCs w:val="24"/>
        </w:rPr>
        <w:t xml:space="preserve"> A, Gomez H, Martin M, et al. Evaluation of a 30-gene paclitaxel, fluorouracil, doxorubicin, and cyclophosphamide chemotherapy response predictor in a multicenter randomized trial in breast cancer.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Cancer Res Off J Am </w:t>
      </w:r>
      <w:proofErr w:type="spellStart"/>
      <w:r w:rsidRPr="00A7512F">
        <w:rPr>
          <w:rFonts w:ascii="Times New Roman" w:hAnsi="Times New Roman" w:cs="Times New Roman"/>
          <w:sz w:val="24"/>
          <w:szCs w:val="24"/>
        </w:rPr>
        <w:t>Assoc</w:t>
      </w:r>
      <w:proofErr w:type="spellEnd"/>
      <w:r w:rsidRPr="00A7512F">
        <w:rPr>
          <w:rFonts w:ascii="Times New Roman" w:hAnsi="Times New Roman" w:cs="Times New Roman"/>
          <w:sz w:val="24"/>
          <w:szCs w:val="24"/>
        </w:rPr>
        <w:t xml:space="preserve"> Cancer Res. 2010</w:t>
      </w:r>
      <w:proofErr w:type="gramStart"/>
      <w:r w:rsidRPr="00A7512F">
        <w:rPr>
          <w:rFonts w:ascii="Times New Roman" w:hAnsi="Times New Roman" w:cs="Times New Roman"/>
          <w:sz w:val="24"/>
          <w:szCs w:val="24"/>
        </w:rPr>
        <w:t>;16:5351</w:t>
      </w:r>
      <w:proofErr w:type="gramEnd"/>
      <w:r w:rsidRPr="00A7512F">
        <w:rPr>
          <w:rFonts w:ascii="Times New Roman" w:hAnsi="Times New Roman" w:cs="Times New Roman"/>
          <w:sz w:val="24"/>
          <w:szCs w:val="24"/>
        </w:rPr>
        <w:t xml:space="preserve">–61.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34. </w:t>
      </w:r>
      <w:r w:rsidRPr="00A7512F">
        <w:rPr>
          <w:rFonts w:ascii="Times New Roman" w:hAnsi="Times New Roman" w:cs="Times New Roman"/>
          <w:sz w:val="24"/>
          <w:szCs w:val="24"/>
        </w:rPr>
        <w:tab/>
        <w:t xml:space="preserve">de </w:t>
      </w:r>
      <w:proofErr w:type="spellStart"/>
      <w:r w:rsidRPr="00A7512F">
        <w:rPr>
          <w:rFonts w:ascii="Times New Roman" w:hAnsi="Times New Roman" w:cs="Times New Roman"/>
          <w:sz w:val="24"/>
          <w:szCs w:val="24"/>
        </w:rPr>
        <w:t>Cremoux</w:t>
      </w:r>
      <w:proofErr w:type="spellEnd"/>
      <w:r w:rsidRPr="00A7512F">
        <w:rPr>
          <w:rFonts w:ascii="Times New Roman" w:hAnsi="Times New Roman" w:cs="Times New Roman"/>
          <w:sz w:val="24"/>
          <w:szCs w:val="24"/>
        </w:rPr>
        <w:t xml:space="preserve"> P, Valet F, </w:t>
      </w:r>
      <w:proofErr w:type="spellStart"/>
      <w:r w:rsidRPr="00A7512F">
        <w:rPr>
          <w:rFonts w:ascii="Times New Roman" w:hAnsi="Times New Roman" w:cs="Times New Roman"/>
          <w:sz w:val="24"/>
          <w:szCs w:val="24"/>
        </w:rPr>
        <w:t>Gentien</w:t>
      </w:r>
      <w:proofErr w:type="spellEnd"/>
      <w:r w:rsidRPr="00A7512F">
        <w:rPr>
          <w:rFonts w:ascii="Times New Roman" w:hAnsi="Times New Roman" w:cs="Times New Roman"/>
          <w:sz w:val="24"/>
          <w:szCs w:val="24"/>
        </w:rPr>
        <w:t xml:space="preserve"> D, Lehmann-</w:t>
      </w:r>
      <w:proofErr w:type="spellStart"/>
      <w:r w:rsidRPr="00A7512F">
        <w:rPr>
          <w:rFonts w:ascii="Times New Roman" w:hAnsi="Times New Roman" w:cs="Times New Roman"/>
          <w:sz w:val="24"/>
          <w:szCs w:val="24"/>
        </w:rPr>
        <w:t>Che</w:t>
      </w:r>
      <w:proofErr w:type="spellEnd"/>
      <w:r w:rsidRPr="00A7512F">
        <w:rPr>
          <w:rFonts w:ascii="Times New Roman" w:hAnsi="Times New Roman" w:cs="Times New Roman"/>
          <w:sz w:val="24"/>
          <w:szCs w:val="24"/>
        </w:rPr>
        <w:t xml:space="preserve"> J, Scott V, Tran-</w:t>
      </w:r>
      <w:proofErr w:type="spellStart"/>
      <w:r w:rsidRPr="00A7512F">
        <w:rPr>
          <w:rFonts w:ascii="Times New Roman" w:hAnsi="Times New Roman" w:cs="Times New Roman"/>
          <w:sz w:val="24"/>
          <w:szCs w:val="24"/>
        </w:rPr>
        <w:t>Perennou</w:t>
      </w:r>
      <w:proofErr w:type="spellEnd"/>
      <w:r w:rsidRPr="00A7512F">
        <w:rPr>
          <w:rFonts w:ascii="Times New Roman" w:hAnsi="Times New Roman" w:cs="Times New Roman"/>
          <w:sz w:val="24"/>
          <w:szCs w:val="24"/>
        </w:rPr>
        <w:t xml:space="preserve"> C, et al. Importance of pre-analytical steps for transcriptome and RT-qPCR analyses in the context of the phase II </w:t>
      </w:r>
      <w:proofErr w:type="spellStart"/>
      <w:r w:rsidRPr="00A7512F">
        <w:rPr>
          <w:rFonts w:ascii="Times New Roman" w:hAnsi="Times New Roman" w:cs="Times New Roman"/>
          <w:sz w:val="24"/>
          <w:szCs w:val="24"/>
        </w:rPr>
        <w:t>randomised</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multicentre</w:t>
      </w:r>
      <w:proofErr w:type="spellEnd"/>
      <w:r w:rsidRPr="00A7512F">
        <w:rPr>
          <w:rFonts w:ascii="Times New Roman" w:hAnsi="Times New Roman" w:cs="Times New Roman"/>
          <w:sz w:val="24"/>
          <w:szCs w:val="24"/>
        </w:rPr>
        <w:t xml:space="preserve"> trial REMAGUS02 of neoadjuvant chemotherapy in breast cancer patients. </w:t>
      </w:r>
      <w:proofErr w:type="gramStart"/>
      <w:r w:rsidRPr="00A7512F">
        <w:rPr>
          <w:rFonts w:ascii="Times New Roman" w:hAnsi="Times New Roman" w:cs="Times New Roman"/>
          <w:sz w:val="24"/>
          <w:szCs w:val="24"/>
        </w:rPr>
        <w:t>BMC Cancer.</w:t>
      </w:r>
      <w:proofErr w:type="gramEnd"/>
      <w:r w:rsidRPr="00A7512F">
        <w:rPr>
          <w:rFonts w:ascii="Times New Roman" w:hAnsi="Times New Roman" w:cs="Times New Roman"/>
          <w:sz w:val="24"/>
          <w:szCs w:val="24"/>
        </w:rPr>
        <w:t xml:space="preserve"> 2011</w:t>
      </w:r>
      <w:proofErr w:type="gramStart"/>
      <w:r w:rsidRPr="00A7512F">
        <w:rPr>
          <w:rFonts w:ascii="Times New Roman" w:hAnsi="Times New Roman" w:cs="Times New Roman"/>
          <w:sz w:val="24"/>
          <w:szCs w:val="24"/>
        </w:rPr>
        <w:t>;11:215</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35. </w:t>
      </w:r>
      <w:r w:rsidRPr="00A7512F">
        <w:rPr>
          <w:rFonts w:ascii="Times New Roman" w:hAnsi="Times New Roman" w:cs="Times New Roman"/>
          <w:sz w:val="24"/>
          <w:szCs w:val="24"/>
        </w:rPr>
        <w:tab/>
        <w:t xml:space="preserve">Miyake T, Nakayama T, Naoi Y, Yamamoto N, </w:t>
      </w:r>
      <w:proofErr w:type="spellStart"/>
      <w:r w:rsidRPr="00A7512F">
        <w:rPr>
          <w:rFonts w:ascii="Times New Roman" w:hAnsi="Times New Roman" w:cs="Times New Roman"/>
          <w:sz w:val="24"/>
          <w:szCs w:val="24"/>
        </w:rPr>
        <w:t>Otani</w:t>
      </w:r>
      <w:proofErr w:type="spellEnd"/>
      <w:r w:rsidRPr="00A7512F">
        <w:rPr>
          <w:rFonts w:ascii="Times New Roman" w:hAnsi="Times New Roman" w:cs="Times New Roman"/>
          <w:sz w:val="24"/>
          <w:szCs w:val="24"/>
        </w:rPr>
        <w:t xml:space="preserve"> Y, Kim SJ, et al. GSTP1 expression predicts poor pathological complete response to neoadjuvant chemotherapy in ER-negative breast cancer. Cancer Sci. 2012</w:t>
      </w:r>
      <w:proofErr w:type="gramStart"/>
      <w:r w:rsidRPr="00A7512F">
        <w:rPr>
          <w:rFonts w:ascii="Times New Roman" w:hAnsi="Times New Roman" w:cs="Times New Roman"/>
          <w:sz w:val="24"/>
          <w:szCs w:val="24"/>
        </w:rPr>
        <w:t>;103:913</w:t>
      </w:r>
      <w:proofErr w:type="gramEnd"/>
      <w:r w:rsidRPr="00A7512F">
        <w:rPr>
          <w:rFonts w:ascii="Times New Roman" w:hAnsi="Times New Roman" w:cs="Times New Roman"/>
          <w:sz w:val="24"/>
          <w:szCs w:val="24"/>
        </w:rPr>
        <w:t xml:space="preserve">–20.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36. </w:t>
      </w:r>
      <w:r w:rsidRPr="00A7512F">
        <w:rPr>
          <w:rFonts w:ascii="Times New Roman" w:hAnsi="Times New Roman" w:cs="Times New Roman"/>
          <w:sz w:val="24"/>
          <w:szCs w:val="24"/>
        </w:rPr>
        <w:tab/>
        <w:t xml:space="preserve">Liu JC, </w:t>
      </w:r>
      <w:proofErr w:type="spellStart"/>
      <w:r w:rsidRPr="00A7512F">
        <w:rPr>
          <w:rFonts w:ascii="Times New Roman" w:hAnsi="Times New Roman" w:cs="Times New Roman"/>
          <w:sz w:val="24"/>
          <w:szCs w:val="24"/>
        </w:rPr>
        <w:t>Voisin</w:t>
      </w:r>
      <w:proofErr w:type="spellEnd"/>
      <w:r w:rsidRPr="00A7512F">
        <w:rPr>
          <w:rFonts w:ascii="Times New Roman" w:hAnsi="Times New Roman" w:cs="Times New Roman"/>
          <w:sz w:val="24"/>
          <w:szCs w:val="24"/>
        </w:rPr>
        <w:t xml:space="preserve"> V, Bader GD, Deng T, </w:t>
      </w:r>
      <w:proofErr w:type="spellStart"/>
      <w:r w:rsidRPr="00A7512F">
        <w:rPr>
          <w:rFonts w:ascii="Times New Roman" w:hAnsi="Times New Roman" w:cs="Times New Roman"/>
          <w:sz w:val="24"/>
          <w:szCs w:val="24"/>
        </w:rPr>
        <w:t>Pusztai</w:t>
      </w:r>
      <w:proofErr w:type="spellEnd"/>
      <w:r w:rsidRPr="00A7512F">
        <w:rPr>
          <w:rFonts w:ascii="Times New Roman" w:hAnsi="Times New Roman" w:cs="Times New Roman"/>
          <w:sz w:val="24"/>
          <w:szCs w:val="24"/>
        </w:rPr>
        <w:t xml:space="preserve"> L, </w:t>
      </w:r>
      <w:proofErr w:type="spellStart"/>
      <w:r w:rsidRPr="00A7512F">
        <w:rPr>
          <w:rFonts w:ascii="Times New Roman" w:hAnsi="Times New Roman" w:cs="Times New Roman"/>
          <w:sz w:val="24"/>
          <w:szCs w:val="24"/>
        </w:rPr>
        <w:t>Symmans</w:t>
      </w:r>
      <w:proofErr w:type="spellEnd"/>
      <w:r w:rsidRPr="00A7512F">
        <w:rPr>
          <w:rFonts w:ascii="Times New Roman" w:hAnsi="Times New Roman" w:cs="Times New Roman"/>
          <w:sz w:val="24"/>
          <w:szCs w:val="24"/>
        </w:rPr>
        <w:t xml:space="preserve"> WF, et al. Seventeen-gene signature from enriched Her2/</w:t>
      </w:r>
      <w:proofErr w:type="spellStart"/>
      <w:r w:rsidRPr="00A7512F">
        <w:rPr>
          <w:rFonts w:ascii="Times New Roman" w:hAnsi="Times New Roman" w:cs="Times New Roman"/>
          <w:sz w:val="24"/>
          <w:szCs w:val="24"/>
        </w:rPr>
        <w:t>Neu</w:t>
      </w:r>
      <w:proofErr w:type="spellEnd"/>
      <w:r w:rsidRPr="00A7512F">
        <w:rPr>
          <w:rFonts w:ascii="Times New Roman" w:hAnsi="Times New Roman" w:cs="Times New Roman"/>
          <w:sz w:val="24"/>
          <w:szCs w:val="24"/>
        </w:rPr>
        <w:t xml:space="preserve"> mammary tumor-initiating cells predicts clinical outcome for human HER2+:ERα- breast cancer. Proc Natl </w:t>
      </w:r>
      <w:proofErr w:type="spellStart"/>
      <w:r w:rsidRPr="00A7512F">
        <w:rPr>
          <w:rFonts w:ascii="Times New Roman" w:hAnsi="Times New Roman" w:cs="Times New Roman"/>
          <w:sz w:val="24"/>
          <w:szCs w:val="24"/>
        </w:rPr>
        <w:t>Acad</w:t>
      </w:r>
      <w:proofErr w:type="spellEnd"/>
      <w:r w:rsidRPr="00A7512F">
        <w:rPr>
          <w:rFonts w:ascii="Times New Roman" w:hAnsi="Times New Roman" w:cs="Times New Roman"/>
          <w:sz w:val="24"/>
          <w:szCs w:val="24"/>
        </w:rPr>
        <w:t xml:space="preserve"> </w:t>
      </w:r>
      <w:proofErr w:type="spellStart"/>
      <w:r w:rsidRPr="00A7512F">
        <w:rPr>
          <w:rFonts w:ascii="Times New Roman" w:hAnsi="Times New Roman" w:cs="Times New Roman"/>
          <w:sz w:val="24"/>
          <w:szCs w:val="24"/>
        </w:rPr>
        <w:t>Sci</w:t>
      </w:r>
      <w:proofErr w:type="spellEnd"/>
      <w:r w:rsidRPr="00A7512F">
        <w:rPr>
          <w:rFonts w:ascii="Times New Roman" w:hAnsi="Times New Roman" w:cs="Times New Roman"/>
          <w:sz w:val="24"/>
          <w:szCs w:val="24"/>
        </w:rPr>
        <w:t xml:space="preserve"> U S A. 2012</w:t>
      </w:r>
      <w:proofErr w:type="gramStart"/>
      <w:r w:rsidRPr="00A7512F">
        <w:rPr>
          <w:rFonts w:ascii="Times New Roman" w:hAnsi="Times New Roman" w:cs="Times New Roman"/>
          <w:sz w:val="24"/>
          <w:szCs w:val="24"/>
        </w:rPr>
        <w:t>;109:5832</w:t>
      </w:r>
      <w:proofErr w:type="gramEnd"/>
      <w:r w:rsidRPr="00A7512F">
        <w:rPr>
          <w:rFonts w:ascii="Times New Roman" w:hAnsi="Times New Roman" w:cs="Times New Roman"/>
          <w:sz w:val="24"/>
          <w:szCs w:val="24"/>
        </w:rPr>
        <w:t xml:space="preserve">–7.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37. </w:t>
      </w:r>
      <w:r w:rsidRPr="00A7512F">
        <w:rPr>
          <w:rFonts w:ascii="Times New Roman" w:hAnsi="Times New Roman" w:cs="Times New Roman"/>
          <w:sz w:val="24"/>
          <w:szCs w:val="24"/>
        </w:rPr>
        <w:tab/>
      </w:r>
      <w:proofErr w:type="spellStart"/>
      <w:r w:rsidRPr="00A7512F">
        <w:rPr>
          <w:rFonts w:ascii="Times New Roman" w:hAnsi="Times New Roman" w:cs="Times New Roman"/>
          <w:sz w:val="24"/>
          <w:szCs w:val="24"/>
        </w:rPr>
        <w:t>Horak</w:t>
      </w:r>
      <w:proofErr w:type="spellEnd"/>
      <w:r w:rsidRPr="00A7512F">
        <w:rPr>
          <w:rFonts w:ascii="Times New Roman" w:hAnsi="Times New Roman" w:cs="Times New Roman"/>
          <w:sz w:val="24"/>
          <w:szCs w:val="24"/>
        </w:rPr>
        <w:t xml:space="preserve"> CE, </w:t>
      </w:r>
      <w:proofErr w:type="spellStart"/>
      <w:r w:rsidRPr="00A7512F">
        <w:rPr>
          <w:rFonts w:ascii="Times New Roman" w:hAnsi="Times New Roman" w:cs="Times New Roman"/>
          <w:sz w:val="24"/>
          <w:szCs w:val="24"/>
        </w:rPr>
        <w:t>Pusztai</w:t>
      </w:r>
      <w:proofErr w:type="spellEnd"/>
      <w:r w:rsidRPr="00A7512F">
        <w:rPr>
          <w:rFonts w:ascii="Times New Roman" w:hAnsi="Times New Roman" w:cs="Times New Roman"/>
          <w:sz w:val="24"/>
          <w:szCs w:val="24"/>
        </w:rPr>
        <w:t xml:space="preserve"> L, Xing G, </w:t>
      </w:r>
      <w:proofErr w:type="spellStart"/>
      <w:r w:rsidRPr="00A7512F">
        <w:rPr>
          <w:rFonts w:ascii="Times New Roman" w:hAnsi="Times New Roman" w:cs="Times New Roman"/>
          <w:sz w:val="24"/>
          <w:szCs w:val="24"/>
        </w:rPr>
        <w:t>Trifan</w:t>
      </w:r>
      <w:proofErr w:type="spellEnd"/>
      <w:r w:rsidRPr="00A7512F">
        <w:rPr>
          <w:rFonts w:ascii="Times New Roman" w:hAnsi="Times New Roman" w:cs="Times New Roman"/>
          <w:sz w:val="24"/>
          <w:szCs w:val="24"/>
        </w:rPr>
        <w:t xml:space="preserve"> OC, </w:t>
      </w:r>
      <w:proofErr w:type="spellStart"/>
      <w:r w:rsidRPr="00A7512F">
        <w:rPr>
          <w:rFonts w:ascii="Times New Roman" w:hAnsi="Times New Roman" w:cs="Times New Roman"/>
          <w:sz w:val="24"/>
          <w:szCs w:val="24"/>
        </w:rPr>
        <w:t>Saura</w:t>
      </w:r>
      <w:proofErr w:type="spellEnd"/>
      <w:r w:rsidRPr="00A7512F">
        <w:rPr>
          <w:rFonts w:ascii="Times New Roman" w:hAnsi="Times New Roman" w:cs="Times New Roman"/>
          <w:sz w:val="24"/>
          <w:szCs w:val="24"/>
        </w:rPr>
        <w:t xml:space="preserve"> C, Tseng L-M, et al. Biomarker analysis of neoadjuvant doxorubicin/cyclophosphamide followed by </w:t>
      </w:r>
      <w:proofErr w:type="spellStart"/>
      <w:r w:rsidRPr="00A7512F">
        <w:rPr>
          <w:rFonts w:ascii="Times New Roman" w:hAnsi="Times New Roman" w:cs="Times New Roman"/>
          <w:sz w:val="24"/>
          <w:szCs w:val="24"/>
        </w:rPr>
        <w:t>ixabepilone</w:t>
      </w:r>
      <w:proofErr w:type="spellEnd"/>
      <w:r w:rsidRPr="00A7512F">
        <w:rPr>
          <w:rFonts w:ascii="Times New Roman" w:hAnsi="Times New Roman" w:cs="Times New Roman"/>
          <w:sz w:val="24"/>
          <w:szCs w:val="24"/>
        </w:rPr>
        <w:t xml:space="preserve"> or Paclitaxel in early-stage breast cancer.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Cancer Res Off J Am </w:t>
      </w:r>
      <w:proofErr w:type="spellStart"/>
      <w:r w:rsidRPr="00A7512F">
        <w:rPr>
          <w:rFonts w:ascii="Times New Roman" w:hAnsi="Times New Roman" w:cs="Times New Roman"/>
          <w:sz w:val="24"/>
          <w:szCs w:val="24"/>
        </w:rPr>
        <w:t>Assoc</w:t>
      </w:r>
      <w:proofErr w:type="spellEnd"/>
      <w:r w:rsidRPr="00A7512F">
        <w:rPr>
          <w:rFonts w:ascii="Times New Roman" w:hAnsi="Times New Roman" w:cs="Times New Roman"/>
          <w:sz w:val="24"/>
          <w:szCs w:val="24"/>
        </w:rPr>
        <w:t xml:space="preserve"> Cancer Res. 2013</w:t>
      </w:r>
      <w:proofErr w:type="gramStart"/>
      <w:r w:rsidRPr="00A7512F">
        <w:rPr>
          <w:rFonts w:ascii="Times New Roman" w:hAnsi="Times New Roman" w:cs="Times New Roman"/>
          <w:sz w:val="24"/>
          <w:szCs w:val="24"/>
        </w:rPr>
        <w:t>;19:1587</w:t>
      </w:r>
      <w:proofErr w:type="gramEnd"/>
      <w:r w:rsidRPr="00A7512F">
        <w:rPr>
          <w:rFonts w:ascii="Times New Roman" w:hAnsi="Times New Roman" w:cs="Times New Roman"/>
          <w:sz w:val="24"/>
          <w:szCs w:val="24"/>
        </w:rPr>
        <w:t xml:space="preserve">–95.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38. </w:t>
      </w:r>
      <w:r w:rsidRPr="00A7512F">
        <w:rPr>
          <w:rFonts w:ascii="Times New Roman" w:hAnsi="Times New Roman" w:cs="Times New Roman"/>
          <w:sz w:val="24"/>
          <w:szCs w:val="24"/>
        </w:rPr>
        <w:tab/>
        <w:t xml:space="preserve">Shen K, Qi Y, Song N, Tian C, Rice SD, </w:t>
      </w:r>
      <w:proofErr w:type="spellStart"/>
      <w:proofErr w:type="gramStart"/>
      <w:r w:rsidRPr="00A7512F">
        <w:rPr>
          <w:rFonts w:ascii="Times New Roman" w:hAnsi="Times New Roman" w:cs="Times New Roman"/>
          <w:sz w:val="24"/>
          <w:szCs w:val="24"/>
        </w:rPr>
        <w:t>Gabrin</w:t>
      </w:r>
      <w:proofErr w:type="spellEnd"/>
      <w:proofErr w:type="gramEnd"/>
      <w:r w:rsidRPr="00A7512F">
        <w:rPr>
          <w:rFonts w:ascii="Times New Roman" w:hAnsi="Times New Roman" w:cs="Times New Roman"/>
          <w:sz w:val="24"/>
          <w:szCs w:val="24"/>
        </w:rPr>
        <w:t xml:space="preserve"> MJ, et al. Cell line derived multi-gene predictor of pathologic response to neoadjuvant chemotherapy in breast cancer: a validation study on US Oncology 02-103 clinical trial. </w:t>
      </w:r>
      <w:proofErr w:type="gramStart"/>
      <w:r w:rsidRPr="00A7512F">
        <w:rPr>
          <w:rFonts w:ascii="Times New Roman" w:hAnsi="Times New Roman" w:cs="Times New Roman"/>
          <w:sz w:val="24"/>
          <w:szCs w:val="24"/>
        </w:rPr>
        <w:t>BMC Med Genomics.</w:t>
      </w:r>
      <w:proofErr w:type="gramEnd"/>
      <w:r w:rsidRPr="00A7512F">
        <w:rPr>
          <w:rFonts w:ascii="Times New Roman" w:hAnsi="Times New Roman" w:cs="Times New Roman"/>
          <w:sz w:val="24"/>
          <w:szCs w:val="24"/>
        </w:rPr>
        <w:t xml:space="preserve"> 2012</w:t>
      </w:r>
      <w:proofErr w:type="gramStart"/>
      <w:r w:rsidRPr="00A7512F">
        <w:rPr>
          <w:rFonts w:ascii="Times New Roman" w:hAnsi="Times New Roman" w:cs="Times New Roman"/>
          <w:sz w:val="24"/>
          <w:szCs w:val="24"/>
        </w:rPr>
        <w:t>;5:51</w:t>
      </w:r>
      <w:proofErr w:type="gramEnd"/>
      <w:r w:rsidRPr="00A7512F">
        <w:rPr>
          <w:rFonts w:ascii="Times New Roman" w:hAnsi="Times New Roman" w:cs="Times New Roman"/>
          <w:sz w:val="24"/>
          <w:szCs w:val="24"/>
        </w:rPr>
        <w:t xml:space="preserve">.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39. </w:t>
      </w:r>
      <w:r w:rsidRPr="00A7512F">
        <w:rPr>
          <w:rFonts w:ascii="Times New Roman" w:hAnsi="Times New Roman" w:cs="Times New Roman"/>
          <w:sz w:val="24"/>
          <w:szCs w:val="24"/>
        </w:rPr>
        <w:tab/>
        <w:t xml:space="preserve">Prat A, </w:t>
      </w:r>
      <w:proofErr w:type="spellStart"/>
      <w:r w:rsidRPr="00A7512F">
        <w:rPr>
          <w:rFonts w:ascii="Times New Roman" w:hAnsi="Times New Roman" w:cs="Times New Roman"/>
          <w:sz w:val="24"/>
          <w:szCs w:val="24"/>
        </w:rPr>
        <w:t>Bianchini</w:t>
      </w:r>
      <w:proofErr w:type="spellEnd"/>
      <w:r w:rsidRPr="00A7512F">
        <w:rPr>
          <w:rFonts w:ascii="Times New Roman" w:hAnsi="Times New Roman" w:cs="Times New Roman"/>
          <w:sz w:val="24"/>
          <w:szCs w:val="24"/>
        </w:rPr>
        <w:t xml:space="preserve"> G, Thomas M, </w:t>
      </w:r>
      <w:proofErr w:type="spellStart"/>
      <w:r w:rsidRPr="00A7512F">
        <w:rPr>
          <w:rFonts w:ascii="Times New Roman" w:hAnsi="Times New Roman" w:cs="Times New Roman"/>
          <w:sz w:val="24"/>
          <w:szCs w:val="24"/>
        </w:rPr>
        <w:t>Belousov</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Cheang</w:t>
      </w:r>
      <w:proofErr w:type="spellEnd"/>
      <w:r w:rsidRPr="00A7512F">
        <w:rPr>
          <w:rFonts w:ascii="Times New Roman" w:hAnsi="Times New Roman" w:cs="Times New Roman"/>
          <w:sz w:val="24"/>
          <w:szCs w:val="24"/>
        </w:rPr>
        <w:t xml:space="preserve"> MCU, Koehler A, et al. Research-based PAM50 subtype predictor identifies higher responses and improved survival </w:t>
      </w:r>
      <w:r w:rsidRPr="00A7512F">
        <w:rPr>
          <w:rFonts w:ascii="Times New Roman" w:hAnsi="Times New Roman" w:cs="Times New Roman"/>
          <w:sz w:val="24"/>
          <w:szCs w:val="24"/>
        </w:rPr>
        <w:lastRenderedPageBreak/>
        <w:t xml:space="preserve">outcomes in HER2-positive breast cancer in the NOAH study. </w:t>
      </w:r>
      <w:proofErr w:type="spellStart"/>
      <w:r w:rsidRPr="00A7512F">
        <w:rPr>
          <w:rFonts w:ascii="Times New Roman" w:hAnsi="Times New Roman" w:cs="Times New Roman"/>
          <w:sz w:val="24"/>
          <w:szCs w:val="24"/>
        </w:rPr>
        <w:t>Clin</w:t>
      </w:r>
      <w:proofErr w:type="spellEnd"/>
      <w:r w:rsidRPr="00A7512F">
        <w:rPr>
          <w:rFonts w:ascii="Times New Roman" w:hAnsi="Times New Roman" w:cs="Times New Roman"/>
          <w:sz w:val="24"/>
          <w:szCs w:val="24"/>
        </w:rPr>
        <w:t xml:space="preserve"> Cancer Res Off J Am </w:t>
      </w:r>
      <w:proofErr w:type="spellStart"/>
      <w:r w:rsidRPr="00A7512F">
        <w:rPr>
          <w:rFonts w:ascii="Times New Roman" w:hAnsi="Times New Roman" w:cs="Times New Roman"/>
          <w:sz w:val="24"/>
          <w:szCs w:val="24"/>
        </w:rPr>
        <w:t>Assoc</w:t>
      </w:r>
      <w:proofErr w:type="spellEnd"/>
      <w:r w:rsidRPr="00A7512F">
        <w:rPr>
          <w:rFonts w:ascii="Times New Roman" w:hAnsi="Times New Roman" w:cs="Times New Roman"/>
          <w:sz w:val="24"/>
          <w:szCs w:val="24"/>
        </w:rPr>
        <w:t xml:space="preserve"> Cancer Res. 2014</w:t>
      </w:r>
      <w:proofErr w:type="gramStart"/>
      <w:r w:rsidRPr="00A7512F">
        <w:rPr>
          <w:rFonts w:ascii="Times New Roman" w:hAnsi="Times New Roman" w:cs="Times New Roman"/>
          <w:sz w:val="24"/>
          <w:szCs w:val="24"/>
        </w:rPr>
        <w:t>;20:511</w:t>
      </w:r>
      <w:proofErr w:type="gramEnd"/>
      <w:r w:rsidRPr="00A7512F">
        <w:rPr>
          <w:rFonts w:ascii="Times New Roman" w:hAnsi="Times New Roman" w:cs="Times New Roman"/>
          <w:sz w:val="24"/>
          <w:szCs w:val="24"/>
        </w:rPr>
        <w:t xml:space="preserve">–21. </w:t>
      </w:r>
    </w:p>
    <w:p w:rsidR="00A7512F" w:rsidRPr="00A7512F" w:rsidRDefault="00A7512F" w:rsidP="00A7512F">
      <w:pPr>
        <w:pStyle w:val="Bibliography"/>
        <w:spacing w:after="0" w:line="360" w:lineRule="auto"/>
        <w:rPr>
          <w:rFonts w:ascii="Times New Roman" w:hAnsi="Times New Roman" w:cs="Times New Roman"/>
          <w:sz w:val="24"/>
          <w:szCs w:val="24"/>
        </w:rPr>
      </w:pPr>
      <w:r w:rsidRPr="00A7512F">
        <w:rPr>
          <w:rFonts w:ascii="Times New Roman" w:hAnsi="Times New Roman" w:cs="Times New Roman"/>
          <w:sz w:val="24"/>
          <w:szCs w:val="24"/>
        </w:rPr>
        <w:t xml:space="preserve">40. </w:t>
      </w:r>
      <w:r w:rsidRPr="00A7512F">
        <w:rPr>
          <w:rFonts w:ascii="Times New Roman" w:hAnsi="Times New Roman" w:cs="Times New Roman"/>
          <w:sz w:val="24"/>
          <w:szCs w:val="24"/>
        </w:rPr>
        <w:tab/>
        <w:t xml:space="preserve">Guarneri V, </w:t>
      </w:r>
      <w:proofErr w:type="spellStart"/>
      <w:r w:rsidRPr="00A7512F">
        <w:rPr>
          <w:rFonts w:ascii="Times New Roman" w:hAnsi="Times New Roman" w:cs="Times New Roman"/>
          <w:sz w:val="24"/>
          <w:szCs w:val="24"/>
        </w:rPr>
        <w:t>Dieci</w:t>
      </w:r>
      <w:proofErr w:type="spellEnd"/>
      <w:r w:rsidRPr="00A7512F">
        <w:rPr>
          <w:rFonts w:ascii="Times New Roman" w:hAnsi="Times New Roman" w:cs="Times New Roman"/>
          <w:sz w:val="24"/>
          <w:szCs w:val="24"/>
        </w:rPr>
        <w:t xml:space="preserve"> MV, </w:t>
      </w:r>
      <w:proofErr w:type="spellStart"/>
      <w:r w:rsidRPr="00A7512F">
        <w:rPr>
          <w:rFonts w:ascii="Times New Roman" w:hAnsi="Times New Roman" w:cs="Times New Roman"/>
          <w:sz w:val="24"/>
          <w:szCs w:val="24"/>
        </w:rPr>
        <w:t>Frassoldati</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Maiorana</w:t>
      </w:r>
      <w:proofErr w:type="spellEnd"/>
      <w:r w:rsidRPr="00A7512F">
        <w:rPr>
          <w:rFonts w:ascii="Times New Roman" w:hAnsi="Times New Roman" w:cs="Times New Roman"/>
          <w:sz w:val="24"/>
          <w:szCs w:val="24"/>
        </w:rPr>
        <w:t xml:space="preserve"> A, </w:t>
      </w:r>
      <w:proofErr w:type="spellStart"/>
      <w:r w:rsidRPr="00A7512F">
        <w:rPr>
          <w:rFonts w:ascii="Times New Roman" w:hAnsi="Times New Roman" w:cs="Times New Roman"/>
          <w:sz w:val="24"/>
          <w:szCs w:val="24"/>
        </w:rPr>
        <w:t>Ficarra</w:t>
      </w:r>
      <w:proofErr w:type="spellEnd"/>
      <w:r w:rsidRPr="00A7512F">
        <w:rPr>
          <w:rFonts w:ascii="Times New Roman" w:hAnsi="Times New Roman" w:cs="Times New Roman"/>
          <w:sz w:val="24"/>
          <w:szCs w:val="24"/>
        </w:rPr>
        <w:t xml:space="preserve"> G, </w:t>
      </w:r>
      <w:proofErr w:type="spellStart"/>
      <w:r w:rsidRPr="00A7512F">
        <w:rPr>
          <w:rFonts w:ascii="Times New Roman" w:hAnsi="Times New Roman" w:cs="Times New Roman"/>
          <w:sz w:val="24"/>
          <w:szCs w:val="24"/>
        </w:rPr>
        <w:t>Bettelli</w:t>
      </w:r>
      <w:proofErr w:type="spellEnd"/>
      <w:r w:rsidRPr="00A7512F">
        <w:rPr>
          <w:rFonts w:ascii="Times New Roman" w:hAnsi="Times New Roman" w:cs="Times New Roman"/>
          <w:sz w:val="24"/>
          <w:szCs w:val="24"/>
        </w:rPr>
        <w:t xml:space="preserve"> S, et al. Prospective Biomarker Analysis of the Randomized CHER-LOB Study Evaluating the Dual Anti-HER2 Treatment With </w:t>
      </w:r>
      <w:proofErr w:type="spellStart"/>
      <w:r w:rsidRPr="00A7512F">
        <w:rPr>
          <w:rFonts w:ascii="Times New Roman" w:hAnsi="Times New Roman" w:cs="Times New Roman"/>
          <w:sz w:val="24"/>
          <w:szCs w:val="24"/>
        </w:rPr>
        <w:t>Trastuzumab</w:t>
      </w:r>
      <w:proofErr w:type="spellEnd"/>
      <w:r w:rsidRPr="00A7512F">
        <w:rPr>
          <w:rFonts w:ascii="Times New Roman" w:hAnsi="Times New Roman" w:cs="Times New Roman"/>
          <w:sz w:val="24"/>
          <w:szCs w:val="24"/>
        </w:rPr>
        <w:t xml:space="preserve"> and </w:t>
      </w:r>
      <w:proofErr w:type="spellStart"/>
      <w:r w:rsidRPr="00A7512F">
        <w:rPr>
          <w:rFonts w:ascii="Times New Roman" w:hAnsi="Times New Roman" w:cs="Times New Roman"/>
          <w:sz w:val="24"/>
          <w:szCs w:val="24"/>
        </w:rPr>
        <w:t>Lapatinib</w:t>
      </w:r>
      <w:proofErr w:type="spellEnd"/>
      <w:r w:rsidRPr="00A7512F">
        <w:rPr>
          <w:rFonts w:ascii="Times New Roman" w:hAnsi="Times New Roman" w:cs="Times New Roman"/>
          <w:sz w:val="24"/>
          <w:szCs w:val="24"/>
        </w:rPr>
        <w:t xml:space="preserve"> Plus Chemotherapy as Neoadjuvant Therapy for HER2-Positive Breast Cancer. </w:t>
      </w:r>
      <w:proofErr w:type="gramStart"/>
      <w:r w:rsidRPr="00A7512F">
        <w:rPr>
          <w:rFonts w:ascii="Times New Roman" w:hAnsi="Times New Roman" w:cs="Times New Roman"/>
          <w:sz w:val="24"/>
          <w:szCs w:val="24"/>
        </w:rPr>
        <w:t>The Oncologist.</w:t>
      </w:r>
      <w:proofErr w:type="gramEnd"/>
      <w:r w:rsidRPr="00A7512F">
        <w:rPr>
          <w:rFonts w:ascii="Times New Roman" w:hAnsi="Times New Roman" w:cs="Times New Roman"/>
          <w:sz w:val="24"/>
          <w:szCs w:val="24"/>
        </w:rPr>
        <w:t xml:space="preserve"> 2015</w:t>
      </w:r>
      <w:proofErr w:type="gramStart"/>
      <w:r w:rsidRPr="00A7512F">
        <w:rPr>
          <w:rFonts w:ascii="Times New Roman" w:hAnsi="Times New Roman" w:cs="Times New Roman"/>
          <w:sz w:val="24"/>
          <w:szCs w:val="24"/>
        </w:rPr>
        <w:t>;20:1001</w:t>
      </w:r>
      <w:proofErr w:type="gramEnd"/>
      <w:r w:rsidRPr="00A7512F">
        <w:rPr>
          <w:rFonts w:ascii="Times New Roman" w:hAnsi="Times New Roman" w:cs="Times New Roman"/>
          <w:sz w:val="24"/>
          <w:szCs w:val="24"/>
        </w:rPr>
        <w:t xml:space="preserve">–10. </w:t>
      </w:r>
    </w:p>
    <w:p w:rsidR="00A7512F" w:rsidRPr="00A7512F" w:rsidRDefault="00A7512F" w:rsidP="00A7512F">
      <w:pPr>
        <w:spacing w:line="360" w:lineRule="auto"/>
        <w:ind w:firstLineChars="1800" w:firstLine="4337"/>
        <w:jc w:val="left"/>
        <w:rPr>
          <w:rFonts w:ascii="Times New Roman" w:hAnsi="Times New Roman" w:cs="Times New Roman"/>
          <w:b/>
          <w:color w:val="000000"/>
          <w:sz w:val="20"/>
          <w:szCs w:val="20"/>
        </w:rPr>
      </w:pPr>
      <w:r w:rsidRPr="00A7512F">
        <w:rPr>
          <w:rFonts w:ascii="Times New Roman" w:hAnsi="Times New Roman" w:cs="Times New Roman"/>
          <w:b/>
          <w:color w:val="000000"/>
          <w:sz w:val="24"/>
          <w:szCs w:val="24"/>
        </w:rPr>
        <w:fldChar w:fldCharType="end"/>
      </w:r>
    </w:p>
    <w:sectPr w:rsidR="00A7512F" w:rsidRPr="00A7512F" w:rsidSect="001D5C36">
      <w:footerReference w:type="default" r:id="rId9"/>
      <w:pgSz w:w="11906" w:h="16838"/>
      <w:pgMar w:top="1440" w:right="1191" w:bottom="1440" w:left="119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17A" w:rsidRDefault="00BF417A" w:rsidP="00A7512F">
      <w:r>
        <w:separator/>
      </w:r>
    </w:p>
  </w:endnote>
  <w:endnote w:type="continuationSeparator" w:id="0">
    <w:p w:rsidR="00BF417A" w:rsidRDefault="00BF417A" w:rsidP="00A75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6569122"/>
      <w:docPartObj>
        <w:docPartGallery w:val="Page Numbers (Bottom of Page)"/>
        <w:docPartUnique/>
      </w:docPartObj>
    </w:sdtPr>
    <w:sdtEndPr>
      <w:rPr>
        <w:noProof/>
      </w:rPr>
    </w:sdtEndPr>
    <w:sdtContent>
      <w:p w:rsidR="00A7512F" w:rsidRDefault="00A7512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A7512F" w:rsidRDefault="00A751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17A" w:rsidRDefault="00BF417A" w:rsidP="00A7512F">
      <w:r>
        <w:separator/>
      </w:r>
    </w:p>
  </w:footnote>
  <w:footnote w:type="continuationSeparator" w:id="0">
    <w:p w:rsidR="00BF417A" w:rsidRDefault="00BF417A" w:rsidP="00A75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769"/>
    <w:rsid w:val="000538F2"/>
    <w:rsid w:val="000561AC"/>
    <w:rsid w:val="00062914"/>
    <w:rsid w:val="001D5C36"/>
    <w:rsid w:val="0024397C"/>
    <w:rsid w:val="002D55F0"/>
    <w:rsid w:val="00355412"/>
    <w:rsid w:val="0036645A"/>
    <w:rsid w:val="003A5A4C"/>
    <w:rsid w:val="00407D33"/>
    <w:rsid w:val="004416F9"/>
    <w:rsid w:val="004D295E"/>
    <w:rsid w:val="005D1A08"/>
    <w:rsid w:val="005F3A1D"/>
    <w:rsid w:val="006B46D9"/>
    <w:rsid w:val="006C7A5F"/>
    <w:rsid w:val="007148A6"/>
    <w:rsid w:val="00735B5B"/>
    <w:rsid w:val="00747D67"/>
    <w:rsid w:val="007739BA"/>
    <w:rsid w:val="0077628A"/>
    <w:rsid w:val="007A195F"/>
    <w:rsid w:val="007A67F4"/>
    <w:rsid w:val="007C6C4F"/>
    <w:rsid w:val="00852089"/>
    <w:rsid w:val="00860EFF"/>
    <w:rsid w:val="008A57CA"/>
    <w:rsid w:val="009964DC"/>
    <w:rsid w:val="009C19BC"/>
    <w:rsid w:val="00A278D7"/>
    <w:rsid w:val="00A32EF3"/>
    <w:rsid w:val="00A34E3A"/>
    <w:rsid w:val="00A72769"/>
    <w:rsid w:val="00A7512F"/>
    <w:rsid w:val="00AA64A0"/>
    <w:rsid w:val="00AC4178"/>
    <w:rsid w:val="00AE2B56"/>
    <w:rsid w:val="00B24738"/>
    <w:rsid w:val="00BA6B29"/>
    <w:rsid w:val="00BF417A"/>
    <w:rsid w:val="00D31D25"/>
    <w:rsid w:val="00D602B5"/>
    <w:rsid w:val="00DC5562"/>
    <w:rsid w:val="00E42A2A"/>
    <w:rsid w:val="00E53D4C"/>
    <w:rsid w:val="00ED5750"/>
    <w:rsid w:val="00F0211C"/>
    <w:rsid w:val="00F05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27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0211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1D5C36"/>
    <w:rPr>
      <w:sz w:val="16"/>
      <w:szCs w:val="16"/>
    </w:rPr>
  </w:style>
  <w:style w:type="character" w:customStyle="1" w:styleId="BalloonTextChar">
    <w:name w:val="Balloon Text Char"/>
    <w:basedOn w:val="DefaultParagraphFont"/>
    <w:link w:val="BalloonText"/>
    <w:uiPriority w:val="99"/>
    <w:semiHidden/>
    <w:rsid w:val="001D5C36"/>
    <w:rPr>
      <w:sz w:val="16"/>
      <w:szCs w:val="16"/>
    </w:rPr>
  </w:style>
  <w:style w:type="paragraph" w:styleId="ListParagraph">
    <w:name w:val="List Paragraph"/>
    <w:basedOn w:val="Normal"/>
    <w:uiPriority w:val="34"/>
    <w:qFormat/>
    <w:rsid w:val="0024397C"/>
    <w:pPr>
      <w:ind w:firstLineChars="200" w:firstLine="420"/>
    </w:pPr>
  </w:style>
  <w:style w:type="paragraph" w:styleId="Bibliography">
    <w:name w:val="Bibliography"/>
    <w:basedOn w:val="Normal"/>
    <w:next w:val="Normal"/>
    <w:uiPriority w:val="37"/>
    <w:unhideWhenUsed/>
    <w:rsid w:val="00A7512F"/>
    <w:pPr>
      <w:tabs>
        <w:tab w:val="left" w:pos="504"/>
      </w:tabs>
      <w:spacing w:after="240"/>
      <w:ind w:left="504" w:hanging="504"/>
    </w:pPr>
  </w:style>
  <w:style w:type="paragraph" w:styleId="Header">
    <w:name w:val="header"/>
    <w:basedOn w:val="Normal"/>
    <w:link w:val="HeaderChar"/>
    <w:uiPriority w:val="99"/>
    <w:unhideWhenUsed/>
    <w:rsid w:val="00A7512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7512F"/>
    <w:rPr>
      <w:sz w:val="18"/>
      <w:szCs w:val="18"/>
    </w:rPr>
  </w:style>
  <w:style w:type="paragraph" w:styleId="Footer">
    <w:name w:val="footer"/>
    <w:basedOn w:val="Normal"/>
    <w:link w:val="FooterChar"/>
    <w:uiPriority w:val="99"/>
    <w:unhideWhenUsed/>
    <w:rsid w:val="00A7512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7512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27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0211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1D5C36"/>
    <w:rPr>
      <w:sz w:val="16"/>
      <w:szCs w:val="16"/>
    </w:rPr>
  </w:style>
  <w:style w:type="character" w:customStyle="1" w:styleId="BalloonTextChar">
    <w:name w:val="Balloon Text Char"/>
    <w:basedOn w:val="DefaultParagraphFont"/>
    <w:link w:val="BalloonText"/>
    <w:uiPriority w:val="99"/>
    <w:semiHidden/>
    <w:rsid w:val="001D5C36"/>
    <w:rPr>
      <w:sz w:val="16"/>
      <w:szCs w:val="16"/>
    </w:rPr>
  </w:style>
  <w:style w:type="paragraph" w:styleId="ListParagraph">
    <w:name w:val="List Paragraph"/>
    <w:basedOn w:val="Normal"/>
    <w:uiPriority w:val="34"/>
    <w:qFormat/>
    <w:rsid w:val="0024397C"/>
    <w:pPr>
      <w:ind w:firstLineChars="200" w:firstLine="420"/>
    </w:pPr>
  </w:style>
  <w:style w:type="paragraph" w:styleId="Bibliography">
    <w:name w:val="Bibliography"/>
    <w:basedOn w:val="Normal"/>
    <w:next w:val="Normal"/>
    <w:uiPriority w:val="37"/>
    <w:unhideWhenUsed/>
    <w:rsid w:val="00A7512F"/>
    <w:pPr>
      <w:tabs>
        <w:tab w:val="left" w:pos="504"/>
      </w:tabs>
      <w:spacing w:after="240"/>
      <w:ind w:left="504" w:hanging="504"/>
    </w:pPr>
  </w:style>
  <w:style w:type="paragraph" w:styleId="Header">
    <w:name w:val="header"/>
    <w:basedOn w:val="Normal"/>
    <w:link w:val="HeaderChar"/>
    <w:uiPriority w:val="99"/>
    <w:unhideWhenUsed/>
    <w:rsid w:val="00A7512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7512F"/>
    <w:rPr>
      <w:sz w:val="18"/>
      <w:szCs w:val="18"/>
    </w:rPr>
  </w:style>
  <w:style w:type="paragraph" w:styleId="Footer">
    <w:name w:val="footer"/>
    <w:basedOn w:val="Normal"/>
    <w:link w:val="FooterChar"/>
    <w:uiPriority w:val="99"/>
    <w:unhideWhenUsed/>
    <w:rsid w:val="00A7512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751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7CFE0-A149-44BB-B3B3-C2B1EC0B6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8</Pages>
  <Words>23795</Words>
  <Characters>135635</Characters>
  <Application>Microsoft Office Word</Application>
  <DocSecurity>0</DocSecurity>
  <Lines>1130</Lines>
  <Paragraphs>318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dx</dc:creator>
  <cp:lastModifiedBy>dx</cp:lastModifiedBy>
  <cp:revision>6</cp:revision>
  <dcterms:created xsi:type="dcterms:W3CDTF">2019-04-29T13:22:00Z</dcterms:created>
  <dcterms:modified xsi:type="dcterms:W3CDTF">2019-06-05T16:05:00Z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id="Gi5WTecO"/&gt;&lt;style id="http://www.zotero.org/styles/cancer-research" hasBibliography="1" bibliographyStyleHasBeenSet="1"/&gt;&lt;prefs&gt;&lt;pref name="fieldType" value="Field"/&gt;&lt;pref name="automaticJournalA</vt:lpwstr>
  </property>
  <property fmtid="{D5CDD505-2E9C-101B-9397-08002B2CF9AE}" pid="3" name="ZOTERO_PREF_2">
    <vt:lpwstr>bbreviations" value="true"/&gt;&lt;/prefs&gt;&lt;/data&gt;</vt:lpwstr>
  </property>
</Properties>
</file>